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D3F" w:rsidRPr="003C73CC" w:rsidRDefault="001D3D3F" w:rsidP="003C73CC">
      <w:pPr>
        <w:numPr>
          <w:ilvl w:val="0"/>
          <w:numId w:val="24"/>
        </w:numPr>
        <w:spacing w:after="120"/>
        <w:jc w:val="both"/>
        <w:rPr>
          <w:rFonts w:ascii="Arial" w:hAnsi="Arial" w:cs="Arial"/>
          <w:b/>
          <w:sz w:val="22"/>
          <w:szCs w:val="22"/>
        </w:rPr>
      </w:pPr>
      <w:r w:rsidRPr="003C73CC">
        <w:rPr>
          <w:rFonts w:ascii="Arial" w:hAnsi="Arial" w:cs="Arial"/>
          <w:b/>
          <w:sz w:val="22"/>
          <w:szCs w:val="22"/>
        </w:rPr>
        <w:t>Základní požadavky</w:t>
      </w:r>
    </w:p>
    <w:p w:rsidR="0036641A" w:rsidRPr="0036641A" w:rsidRDefault="0036641A" w:rsidP="0036641A">
      <w:pPr>
        <w:ind w:left="360" w:firstLine="349"/>
        <w:jc w:val="both"/>
        <w:rPr>
          <w:rFonts w:ascii="Arial" w:hAnsi="Arial" w:cs="Arial"/>
          <w:sz w:val="20"/>
          <w:szCs w:val="20"/>
        </w:rPr>
      </w:pPr>
      <w:r w:rsidRPr="0036641A">
        <w:rPr>
          <w:rFonts w:ascii="Arial" w:hAnsi="Arial" w:cs="Arial"/>
          <w:sz w:val="20"/>
          <w:szCs w:val="20"/>
        </w:rPr>
        <w:t xml:space="preserve">Předmětem dokumentace je změna projektové dokumentace projektu „Karlovy Vary – Revitalizace objektu Císařských lázní“, kde proběhlo územní rozhodnutí v 05/2010, stavební povolení na stavební a inženýrské objekty z 11/2010, stavební povolení na objekt SO 102 (SO 102.1 a 102.2) z 11/2011 a změna stavby před jejím dokončením z 01/2017. PD navazuje na změnu z 01/2016 a spíše redukuje její rozsah. </w:t>
      </w:r>
    </w:p>
    <w:p w:rsidR="0036641A" w:rsidRPr="0036641A" w:rsidRDefault="0036641A" w:rsidP="0036641A">
      <w:pPr>
        <w:ind w:left="360" w:firstLine="349"/>
        <w:jc w:val="both"/>
        <w:rPr>
          <w:rFonts w:ascii="Arial" w:hAnsi="Arial" w:cs="Arial"/>
          <w:sz w:val="20"/>
          <w:szCs w:val="20"/>
        </w:rPr>
      </w:pPr>
      <w:r w:rsidRPr="0036641A">
        <w:rPr>
          <w:rFonts w:ascii="Arial" w:hAnsi="Arial" w:cs="Arial"/>
          <w:sz w:val="20"/>
          <w:szCs w:val="20"/>
        </w:rPr>
        <w:t xml:space="preserve">Hlavní změnou v PD je vypuštění multifunkčního sálu a navazujících provozů ve 2. PP. Vypuštěny jsou místnosti 2. PP v půdorysném průmětu atria. Nově jsou navrženy průchozí a průlezné kanály pod atriem, ve kterých budou roztaženy technické instalace objektu. Toto řešení zároveň umožňuje splnit podmínku orgánů památkové péče ohledně zachování alespoň části stávajících technických kanálů. Další drobné dispoziční změny se vyskytují v 1. PP až 3. NP zejména v koupelnové části B – podkově. Výraznou změnou pak je ve způsobu zastřešení atria. V současné době je dvůr zastřešen pomocí ocelových vazníků, dřevěného bednění a asfaltových izolací. Vyvýšená střecha je po obvodě zasklena </w:t>
      </w:r>
      <w:proofErr w:type="spellStart"/>
      <w:r w:rsidRPr="0036641A">
        <w:rPr>
          <w:rFonts w:ascii="Arial" w:hAnsi="Arial" w:cs="Arial"/>
          <w:sz w:val="20"/>
          <w:szCs w:val="20"/>
        </w:rPr>
        <w:t>drátosklem</w:t>
      </w:r>
      <w:proofErr w:type="spellEnd"/>
      <w:r w:rsidRPr="0036641A">
        <w:rPr>
          <w:rFonts w:ascii="Arial" w:hAnsi="Arial" w:cs="Arial"/>
          <w:sz w:val="20"/>
          <w:szCs w:val="20"/>
        </w:rPr>
        <w:t>. Návrh počítá s demontáží krytiny vč. bednění a zasklení. Oproti předchozím PD z let 2009-2016 budou ponechány ocelové vazníky, na které bude ukotvena nová skleněná střecha. Vzhledem k požadavku na venkovní shromažďovací prostor v atriu, bude střecha po obvodě a ve vrcholu otevřená pro vzduch. Otvory budou kryty jen pletivem proti zalétnutí ptáků (požadavek dle PBŘ).</w:t>
      </w:r>
    </w:p>
    <w:p w:rsidR="0036641A" w:rsidRPr="0036641A" w:rsidRDefault="0036641A" w:rsidP="0036641A">
      <w:pPr>
        <w:ind w:left="360" w:firstLine="349"/>
        <w:jc w:val="both"/>
        <w:rPr>
          <w:rFonts w:ascii="Arial" w:hAnsi="Arial" w:cs="Arial"/>
          <w:sz w:val="20"/>
          <w:szCs w:val="20"/>
        </w:rPr>
      </w:pPr>
      <w:r w:rsidRPr="0036641A">
        <w:rPr>
          <w:rFonts w:ascii="Arial" w:hAnsi="Arial" w:cs="Arial"/>
          <w:sz w:val="20"/>
          <w:szCs w:val="20"/>
        </w:rPr>
        <w:t>Změnová dokumentace reaguje na 32 podmínkových bodů orgánů památkové péče. Buď jsou body vyřešeny tím, že některé konstrukce jsou vypuštěny, nebo jsou v PD zapracovány.</w:t>
      </w:r>
    </w:p>
    <w:p w:rsidR="0036641A" w:rsidRPr="002308C6" w:rsidRDefault="0036641A" w:rsidP="0036641A">
      <w:pPr>
        <w:ind w:left="360" w:firstLine="349"/>
        <w:jc w:val="both"/>
        <w:rPr>
          <w:rFonts w:ascii="Arial" w:hAnsi="Arial" w:cs="Arial"/>
          <w:sz w:val="20"/>
          <w:szCs w:val="20"/>
        </w:rPr>
      </w:pPr>
      <w:r w:rsidRPr="0036641A">
        <w:rPr>
          <w:rFonts w:ascii="Arial" w:hAnsi="Arial" w:cs="Arial"/>
          <w:sz w:val="20"/>
          <w:szCs w:val="20"/>
        </w:rPr>
        <w:t xml:space="preserve">V rámci této změny se bude měnit pouze objekt SO 101 a to bez zásahů do vnějších fasád a </w:t>
      </w:r>
      <w:r w:rsidRPr="002308C6">
        <w:rPr>
          <w:rFonts w:ascii="Arial" w:hAnsi="Arial" w:cs="Arial"/>
          <w:sz w:val="20"/>
          <w:szCs w:val="20"/>
        </w:rPr>
        <w:t>přípojek.</w:t>
      </w:r>
    </w:p>
    <w:p w:rsidR="0036641A" w:rsidRPr="002308C6" w:rsidRDefault="0036641A" w:rsidP="0036641A">
      <w:pPr>
        <w:ind w:left="360" w:firstLine="349"/>
        <w:jc w:val="both"/>
        <w:rPr>
          <w:rFonts w:ascii="Arial" w:hAnsi="Arial" w:cs="Arial"/>
          <w:sz w:val="20"/>
          <w:szCs w:val="20"/>
        </w:rPr>
      </w:pPr>
    </w:p>
    <w:p w:rsidR="00090DC5" w:rsidRDefault="001D3D3F" w:rsidP="0036641A">
      <w:pPr>
        <w:ind w:left="360" w:firstLine="349"/>
        <w:jc w:val="both"/>
        <w:rPr>
          <w:rFonts w:ascii="Arial" w:hAnsi="Arial" w:cs="Arial"/>
          <w:sz w:val="20"/>
          <w:szCs w:val="20"/>
        </w:rPr>
      </w:pPr>
      <w:r w:rsidRPr="002308C6">
        <w:rPr>
          <w:rFonts w:ascii="Arial" w:hAnsi="Arial" w:cs="Arial"/>
          <w:sz w:val="20"/>
          <w:szCs w:val="20"/>
        </w:rPr>
        <w:t>Předmětem předložené dokumentace j</w:t>
      </w:r>
      <w:r w:rsidR="00090DC5" w:rsidRPr="002308C6">
        <w:rPr>
          <w:rFonts w:ascii="Arial" w:hAnsi="Arial" w:cs="Arial"/>
          <w:sz w:val="20"/>
          <w:szCs w:val="20"/>
        </w:rPr>
        <w:t>e</w:t>
      </w:r>
      <w:r w:rsidRPr="002308C6">
        <w:rPr>
          <w:rFonts w:ascii="Arial" w:hAnsi="Arial" w:cs="Arial"/>
          <w:sz w:val="20"/>
          <w:szCs w:val="20"/>
        </w:rPr>
        <w:t xml:space="preserve"> </w:t>
      </w:r>
      <w:r w:rsidR="001D6790" w:rsidRPr="002308C6">
        <w:rPr>
          <w:rFonts w:ascii="Arial" w:hAnsi="Arial" w:cs="Arial"/>
          <w:sz w:val="20"/>
          <w:szCs w:val="20"/>
        </w:rPr>
        <w:t xml:space="preserve">úprava projektu </w:t>
      </w:r>
      <w:r w:rsidRPr="002308C6">
        <w:rPr>
          <w:rFonts w:ascii="Arial" w:hAnsi="Arial" w:cs="Arial"/>
          <w:sz w:val="20"/>
          <w:szCs w:val="20"/>
        </w:rPr>
        <w:t xml:space="preserve">umělého osvětlení </w:t>
      </w:r>
      <w:r w:rsidR="00090DC5" w:rsidRPr="002308C6">
        <w:rPr>
          <w:rFonts w:ascii="Arial" w:hAnsi="Arial" w:cs="Arial"/>
          <w:sz w:val="20"/>
          <w:szCs w:val="20"/>
        </w:rPr>
        <w:t xml:space="preserve">vydaného v </w:t>
      </w:r>
      <w:r w:rsidR="001D6790" w:rsidRPr="002308C6">
        <w:rPr>
          <w:rFonts w:ascii="Arial" w:hAnsi="Arial" w:cs="Arial"/>
          <w:sz w:val="20"/>
          <w:szCs w:val="20"/>
        </w:rPr>
        <w:t>dokumentac</w:t>
      </w:r>
      <w:r w:rsidR="00090DC5" w:rsidRPr="002308C6">
        <w:rPr>
          <w:rFonts w:ascii="Arial" w:hAnsi="Arial" w:cs="Arial"/>
          <w:sz w:val="20"/>
          <w:szCs w:val="20"/>
        </w:rPr>
        <w:t>i</w:t>
      </w:r>
      <w:r w:rsidR="001D6790">
        <w:rPr>
          <w:rFonts w:ascii="Arial" w:hAnsi="Arial" w:cs="Arial"/>
          <w:sz w:val="20"/>
          <w:szCs w:val="20"/>
        </w:rPr>
        <w:t xml:space="preserve"> pro provedení stavby </w:t>
      </w:r>
      <w:r w:rsidR="00090DC5">
        <w:rPr>
          <w:rFonts w:ascii="Arial" w:hAnsi="Arial" w:cs="Arial"/>
          <w:sz w:val="20"/>
          <w:szCs w:val="20"/>
        </w:rPr>
        <w:t>ze</w:t>
      </w:r>
      <w:r w:rsidR="001D6790">
        <w:rPr>
          <w:rFonts w:ascii="Arial" w:hAnsi="Arial" w:cs="Arial"/>
          <w:sz w:val="20"/>
          <w:szCs w:val="20"/>
        </w:rPr>
        <w:t> září 2016. Změny jsou vyvolané úpravami dispozice a změnou využití některých prostorů.</w:t>
      </w:r>
      <w:r w:rsidR="003770CF">
        <w:rPr>
          <w:rFonts w:ascii="Arial" w:hAnsi="Arial" w:cs="Arial"/>
          <w:sz w:val="20"/>
          <w:szCs w:val="20"/>
        </w:rPr>
        <w:t xml:space="preserve"> </w:t>
      </w:r>
    </w:p>
    <w:p w:rsidR="001D3D3F" w:rsidRPr="00D11D26" w:rsidRDefault="001D3D3F" w:rsidP="003C73CC">
      <w:pPr>
        <w:ind w:left="360" w:firstLine="349"/>
        <w:jc w:val="both"/>
        <w:rPr>
          <w:rFonts w:ascii="Arial" w:hAnsi="Arial" w:cs="Arial"/>
          <w:sz w:val="20"/>
          <w:szCs w:val="20"/>
        </w:rPr>
      </w:pPr>
      <w:r w:rsidRPr="00D11D26">
        <w:rPr>
          <w:rFonts w:ascii="Arial" w:hAnsi="Arial" w:cs="Arial"/>
          <w:sz w:val="20"/>
          <w:szCs w:val="20"/>
        </w:rPr>
        <w:t xml:space="preserve">Budova Císařských lázní </w:t>
      </w:r>
      <w:r>
        <w:rPr>
          <w:rFonts w:ascii="Arial" w:hAnsi="Arial" w:cs="Arial"/>
          <w:sz w:val="20"/>
          <w:szCs w:val="20"/>
        </w:rPr>
        <w:t>je v současné době</w:t>
      </w:r>
      <w:r w:rsidR="00E23C4C">
        <w:rPr>
          <w:rFonts w:ascii="Arial" w:hAnsi="Arial" w:cs="Arial"/>
          <w:sz w:val="20"/>
          <w:szCs w:val="20"/>
        </w:rPr>
        <w:t xml:space="preserve"> v</w:t>
      </w:r>
      <w:r>
        <w:rPr>
          <w:rFonts w:ascii="Arial" w:hAnsi="Arial" w:cs="Arial"/>
          <w:sz w:val="20"/>
          <w:szCs w:val="20"/>
        </w:rPr>
        <w:t xml:space="preserve"> téměř havarijním stavu. V</w:t>
      </w:r>
      <w:r w:rsidRPr="00D11D26">
        <w:rPr>
          <w:rFonts w:ascii="Arial" w:hAnsi="Arial" w:cs="Arial"/>
          <w:sz w:val="20"/>
          <w:szCs w:val="20"/>
        </w:rPr>
        <w:t xml:space="preserve"> rámci revitalizace </w:t>
      </w:r>
      <w:r>
        <w:rPr>
          <w:rFonts w:ascii="Arial" w:hAnsi="Arial" w:cs="Arial"/>
          <w:sz w:val="20"/>
          <w:szCs w:val="20"/>
        </w:rPr>
        <w:t xml:space="preserve">bude </w:t>
      </w:r>
      <w:r w:rsidRPr="00D11D26">
        <w:rPr>
          <w:rFonts w:ascii="Arial" w:hAnsi="Arial" w:cs="Arial"/>
          <w:sz w:val="20"/>
          <w:szCs w:val="20"/>
        </w:rPr>
        <w:t>kompletně zrekonstruovaná</w:t>
      </w:r>
      <w:r w:rsidR="0047561D">
        <w:rPr>
          <w:rFonts w:ascii="Arial" w:hAnsi="Arial" w:cs="Arial"/>
          <w:sz w:val="20"/>
          <w:szCs w:val="20"/>
        </w:rPr>
        <w:t xml:space="preserve">, atrium bude zastřešené a využívané jako </w:t>
      </w:r>
      <w:r w:rsidRPr="00D11D26">
        <w:rPr>
          <w:rFonts w:ascii="Arial" w:hAnsi="Arial" w:cs="Arial"/>
          <w:sz w:val="20"/>
          <w:szCs w:val="20"/>
        </w:rPr>
        <w:t>multifunkční</w:t>
      </w:r>
      <w:r w:rsidR="0047561D">
        <w:rPr>
          <w:rFonts w:ascii="Arial" w:hAnsi="Arial" w:cs="Arial"/>
          <w:sz w:val="20"/>
          <w:szCs w:val="20"/>
        </w:rPr>
        <w:t xml:space="preserve"> </w:t>
      </w:r>
      <w:r w:rsidRPr="00D11D26">
        <w:rPr>
          <w:rFonts w:ascii="Arial" w:hAnsi="Arial" w:cs="Arial"/>
          <w:sz w:val="20"/>
          <w:szCs w:val="20"/>
        </w:rPr>
        <w:t>prostor.</w:t>
      </w:r>
      <w:r w:rsidR="00090DC5">
        <w:rPr>
          <w:rFonts w:ascii="Arial" w:hAnsi="Arial" w:cs="Arial"/>
          <w:sz w:val="20"/>
          <w:szCs w:val="20"/>
        </w:rPr>
        <w:t xml:space="preserve"> </w:t>
      </w:r>
      <w:r>
        <w:rPr>
          <w:rFonts w:ascii="Arial" w:hAnsi="Arial" w:cs="Arial"/>
          <w:sz w:val="20"/>
          <w:szCs w:val="20"/>
        </w:rPr>
        <w:t>Ve vstupní části objektu a v některých podlažích také na okružních chodbách se dochovala původní historická svítidla, která budou v kombinaci se svítidly moderními využívaná i po rekonstrukci objektu.</w:t>
      </w:r>
    </w:p>
    <w:p w:rsidR="001D3D3F" w:rsidRDefault="001D3D3F" w:rsidP="003C73CC">
      <w:pPr>
        <w:ind w:left="360" w:firstLine="349"/>
        <w:jc w:val="both"/>
        <w:rPr>
          <w:rFonts w:ascii="Arial" w:hAnsi="Arial" w:cs="Arial"/>
          <w:sz w:val="20"/>
          <w:szCs w:val="20"/>
        </w:rPr>
      </w:pPr>
      <w:r w:rsidRPr="00D11D26">
        <w:rPr>
          <w:rFonts w:ascii="Arial" w:hAnsi="Arial" w:cs="Arial"/>
          <w:sz w:val="20"/>
          <w:szCs w:val="20"/>
        </w:rPr>
        <w:t xml:space="preserve">Cílem projektu bylo </w:t>
      </w:r>
      <w:r w:rsidR="003151AC">
        <w:rPr>
          <w:rFonts w:ascii="Arial" w:hAnsi="Arial" w:cs="Arial"/>
          <w:sz w:val="20"/>
          <w:szCs w:val="20"/>
        </w:rPr>
        <w:t xml:space="preserve">v maximální možné míře zachovat původně navrženou </w:t>
      </w:r>
      <w:r w:rsidRPr="00D11D26">
        <w:rPr>
          <w:rFonts w:ascii="Arial" w:hAnsi="Arial" w:cs="Arial"/>
          <w:sz w:val="20"/>
          <w:szCs w:val="20"/>
        </w:rPr>
        <w:t xml:space="preserve">osvětlovací </w:t>
      </w:r>
      <w:r w:rsidRPr="00A27705">
        <w:rPr>
          <w:rFonts w:ascii="Arial" w:hAnsi="Arial" w:cs="Arial"/>
          <w:sz w:val="20"/>
          <w:szCs w:val="20"/>
        </w:rPr>
        <w:t>soustavu</w:t>
      </w:r>
      <w:r w:rsidR="003151AC" w:rsidRPr="00A27705">
        <w:rPr>
          <w:rFonts w:ascii="Arial" w:hAnsi="Arial" w:cs="Arial"/>
          <w:sz w:val="20"/>
          <w:szCs w:val="20"/>
        </w:rPr>
        <w:t xml:space="preserve"> i způsob ovládání</w:t>
      </w:r>
      <w:r w:rsidRPr="00A27705">
        <w:rPr>
          <w:rFonts w:ascii="Arial" w:hAnsi="Arial" w:cs="Arial"/>
          <w:sz w:val="20"/>
          <w:szCs w:val="20"/>
        </w:rPr>
        <w:t>.</w:t>
      </w:r>
      <w:r w:rsidR="003151AC" w:rsidRPr="00A27705">
        <w:rPr>
          <w:rFonts w:ascii="Arial" w:hAnsi="Arial" w:cs="Arial"/>
          <w:sz w:val="20"/>
          <w:szCs w:val="20"/>
        </w:rPr>
        <w:t xml:space="preserve"> </w:t>
      </w:r>
      <w:r w:rsidR="003770CF" w:rsidRPr="00A27705">
        <w:rPr>
          <w:rFonts w:ascii="Arial" w:hAnsi="Arial" w:cs="Arial"/>
          <w:sz w:val="20"/>
          <w:szCs w:val="20"/>
        </w:rPr>
        <w:t>Navržený koncept a principy řešení zůstávají v převážné části budovy nezměněné. Změnami projde osvětlení atria</w:t>
      </w:r>
      <w:r w:rsidR="00A27705">
        <w:rPr>
          <w:rFonts w:ascii="Arial" w:hAnsi="Arial" w:cs="Arial"/>
          <w:sz w:val="20"/>
          <w:szCs w:val="20"/>
        </w:rPr>
        <w:t xml:space="preserve"> a ostatních místností</w:t>
      </w:r>
      <w:r w:rsidR="003770CF" w:rsidRPr="00A27705">
        <w:rPr>
          <w:rFonts w:ascii="Arial" w:hAnsi="Arial" w:cs="Arial"/>
          <w:sz w:val="20"/>
          <w:szCs w:val="20"/>
        </w:rPr>
        <w:t>, kde se zá</w:t>
      </w:r>
      <w:r w:rsidR="00A27705" w:rsidRPr="00A27705">
        <w:rPr>
          <w:rFonts w:ascii="Arial" w:hAnsi="Arial" w:cs="Arial"/>
          <w:sz w:val="20"/>
          <w:szCs w:val="20"/>
        </w:rPr>
        <w:t>sadně změnilo funkční využití.</w:t>
      </w:r>
    </w:p>
    <w:p w:rsidR="001D3D3F" w:rsidRPr="00D11D26" w:rsidRDefault="001D3D3F" w:rsidP="003C73CC">
      <w:pPr>
        <w:ind w:left="360" w:firstLine="349"/>
        <w:jc w:val="both"/>
        <w:rPr>
          <w:rFonts w:ascii="Arial" w:hAnsi="Arial" w:cs="Arial"/>
          <w:sz w:val="20"/>
          <w:szCs w:val="20"/>
        </w:rPr>
      </w:pPr>
      <w:r>
        <w:rPr>
          <w:rFonts w:ascii="Arial" w:hAnsi="Arial" w:cs="Arial"/>
          <w:sz w:val="20"/>
          <w:szCs w:val="20"/>
        </w:rPr>
        <w:t xml:space="preserve">Prostory </w:t>
      </w:r>
      <w:r w:rsidRPr="00D117E2">
        <w:rPr>
          <w:rFonts w:ascii="Arial" w:hAnsi="Arial" w:cs="Arial"/>
          <w:sz w:val="20"/>
          <w:szCs w:val="20"/>
        </w:rPr>
        <w:t>v dokumentaci nazývané „nájemní jednotky“ jsou řešeny v souladu s neuzavřeným stavebním programem jako „</w:t>
      </w:r>
      <w:proofErr w:type="spellStart"/>
      <w:r w:rsidRPr="00D117E2">
        <w:rPr>
          <w:rFonts w:ascii="Arial" w:hAnsi="Arial" w:cs="Arial"/>
          <w:sz w:val="20"/>
          <w:szCs w:val="20"/>
        </w:rPr>
        <w:t>holoprostor</w:t>
      </w:r>
      <w:proofErr w:type="spellEnd"/>
      <w:r w:rsidRPr="00D117E2">
        <w:rPr>
          <w:rFonts w:ascii="Arial" w:hAnsi="Arial" w:cs="Arial"/>
          <w:sz w:val="20"/>
          <w:szCs w:val="20"/>
        </w:rPr>
        <w:t>“. Jsou tedy jen minimálně stavebně upraveny – hrubá oprava omítek, podlahy, nejnutnější oprava výplní otvorů a přivedení domovních technologií, bez koncových prvků. Jen tyto práce a dodávky jsou zohledněny ve výkazu výměr. V dokumentaci zakreslené vybavení je jen z důvodů prostorové a technické koordinace.</w:t>
      </w:r>
    </w:p>
    <w:p w:rsidR="001D3D3F" w:rsidRPr="003C73CC" w:rsidRDefault="001D3D3F" w:rsidP="003C73CC">
      <w:pPr>
        <w:ind w:left="360"/>
        <w:jc w:val="both"/>
        <w:rPr>
          <w:rFonts w:ascii="Arial" w:hAnsi="Arial" w:cs="Arial"/>
          <w:sz w:val="20"/>
          <w:szCs w:val="20"/>
        </w:rPr>
      </w:pPr>
    </w:p>
    <w:p w:rsidR="001D3D3F" w:rsidRPr="003C73CC" w:rsidRDefault="001D3D3F" w:rsidP="003C73CC">
      <w:pPr>
        <w:spacing w:after="120"/>
        <w:ind w:left="360"/>
        <w:jc w:val="both"/>
        <w:rPr>
          <w:rFonts w:ascii="Arial" w:hAnsi="Arial" w:cs="Arial"/>
          <w:sz w:val="22"/>
          <w:szCs w:val="22"/>
        </w:rPr>
      </w:pPr>
      <w:r w:rsidRPr="003C73CC">
        <w:rPr>
          <w:rFonts w:ascii="Arial" w:hAnsi="Arial" w:cs="Arial"/>
          <w:b/>
          <w:sz w:val="22"/>
          <w:szCs w:val="22"/>
        </w:rPr>
        <w:t>2.</w:t>
      </w:r>
      <w:r w:rsidRPr="003C73CC">
        <w:rPr>
          <w:rFonts w:ascii="Arial" w:hAnsi="Arial" w:cs="Arial"/>
          <w:sz w:val="22"/>
          <w:szCs w:val="22"/>
        </w:rPr>
        <w:t xml:space="preserve"> </w:t>
      </w:r>
      <w:r w:rsidRPr="003C73CC">
        <w:rPr>
          <w:rFonts w:ascii="Arial" w:hAnsi="Arial" w:cs="Arial"/>
          <w:b/>
          <w:sz w:val="22"/>
          <w:szCs w:val="22"/>
        </w:rPr>
        <w:t>Výchozí podklady</w:t>
      </w:r>
    </w:p>
    <w:p w:rsidR="001D3D3F" w:rsidRPr="003C73CC" w:rsidRDefault="001D3D3F" w:rsidP="003C73CC">
      <w:pPr>
        <w:numPr>
          <w:ilvl w:val="0"/>
          <w:numId w:val="23"/>
        </w:numPr>
        <w:jc w:val="both"/>
        <w:rPr>
          <w:rFonts w:ascii="Arial" w:hAnsi="Arial" w:cs="Arial"/>
          <w:sz w:val="20"/>
          <w:szCs w:val="20"/>
        </w:rPr>
      </w:pPr>
      <w:r w:rsidRPr="003C73CC">
        <w:rPr>
          <w:rFonts w:ascii="Arial" w:hAnsi="Arial" w:cs="Arial"/>
          <w:sz w:val="20"/>
          <w:szCs w:val="20"/>
        </w:rPr>
        <w:t>stavební dokumentace (</w:t>
      </w:r>
      <w:r w:rsidRPr="00E95B09">
        <w:rPr>
          <w:rFonts w:ascii="Arial" w:hAnsi="Arial" w:cs="Arial"/>
          <w:sz w:val="20"/>
          <w:szCs w:val="20"/>
        </w:rPr>
        <w:t>INTAR a.s.</w:t>
      </w:r>
      <w:r w:rsidR="00090DC5">
        <w:rPr>
          <w:rFonts w:ascii="Arial" w:hAnsi="Arial" w:cs="Arial"/>
          <w:sz w:val="20"/>
          <w:szCs w:val="20"/>
        </w:rPr>
        <w:t xml:space="preserve">, </w:t>
      </w:r>
      <w:r w:rsidR="00EC0A60">
        <w:rPr>
          <w:rFonts w:ascii="Arial" w:hAnsi="Arial" w:cs="Arial"/>
          <w:sz w:val="20"/>
          <w:szCs w:val="20"/>
        </w:rPr>
        <w:t>12/</w:t>
      </w:r>
      <w:r w:rsidR="00090DC5">
        <w:rPr>
          <w:rFonts w:ascii="Arial" w:hAnsi="Arial" w:cs="Arial"/>
          <w:sz w:val="20"/>
          <w:szCs w:val="20"/>
        </w:rPr>
        <w:t>2018</w:t>
      </w:r>
      <w:r w:rsidRPr="003C73CC">
        <w:rPr>
          <w:rFonts w:ascii="Arial" w:hAnsi="Arial" w:cs="Arial"/>
          <w:sz w:val="20"/>
          <w:szCs w:val="20"/>
        </w:rPr>
        <w:t>)</w:t>
      </w:r>
    </w:p>
    <w:p w:rsidR="001D3D3F" w:rsidRPr="003C73CC" w:rsidRDefault="001D3D3F" w:rsidP="003C73CC">
      <w:pPr>
        <w:numPr>
          <w:ilvl w:val="0"/>
          <w:numId w:val="23"/>
        </w:numPr>
        <w:jc w:val="both"/>
        <w:rPr>
          <w:rFonts w:ascii="Arial" w:hAnsi="Arial" w:cs="Arial"/>
          <w:sz w:val="20"/>
          <w:szCs w:val="20"/>
        </w:rPr>
      </w:pPr>
      <w:r w:rsidRPr="003C73CC">
        <w:rPr>
          <w:rFonts w:ascii="Arial" w:hAnsi="Arial" w:cs="Arial"/>
          <w:sz w:val="20"/>
          <w:szCs w:val="20"/>
        </w:rPr>
        <w:t>údaje o materiálech (druh, odraznosti a barevnost povrchů)</w:t>
      </w:r>
    </w:p>
    <w:p w:rsidR="001D3D3F" w:rsidRPr="003C73CC" w:rsidRDefault="001D3D3F" w:rsidP="003C73CC">
      <w:pPr>
        <w:numPr>
          <w:ilvl w:val="0"/>
          <w:numId w:val="23"/>
        </w:numPr>
        <w:jc w:val="both"/>
        <w:rPr>
          <w:rFonts w:ascii="Arial" w:hAnsi="Arial" w:cs="Arial"/>
          <w:sz w:val="20"/>
          <w:szCs w:val="20"/>
        </w:rPr>
      </w:pPr>
      <w:r w:rsidRPr="003C73CC">
        <w:rPr>
          <w:rFonts w:ascii="Arial" w:hAnsi="Arial" w:cs="Arial"/>
          <w:sz w:val="20"/>
          <w:szCs w:val="20"/>
        </w:rPr>
        <w:t>technické údaje výrobců svítidel a světelných zdrojů</w:t>
      </w:r>
    </w:p>
    <w:p w:rsidR="001D3D3F" w:rsidRDefault="001D3D3F" w:rsidP="003C73CC">
      <w:pPr>
        <w:numPr>
          <w:ilvl w:val="0"/>
          <w:numId w:val="23"/>
        </w:numPr>
        <w:jc w:val="both"/>
        <w:rPr>
          <w:rFonts w:ascii="Arial" w:hAnsi="Arial" w:cs="Arial"/>
          <w:sz w:val="20"/>
          <w:szCs w:val="20"/>
        </w:rPr>
      </w:pPr>
      <w:r w:rsidRPr="003C73CC">
        <w:rPr>
          <w:rFonts w:ascii="Arial" w:hAnsi="Arial" w:cs="Arial"/>
          <w:sz w:val="20"/>
          <w:szCs w:val="20"/>
        </w:rPr>
        <w:t>ČSN EN 12464–1 Světlo a osvětlení – Osvětlení pracovních prostorů – Vnitřní pracovní prostory</w:t>
      </w:r>
      <w:r>
        <w:rPr>
          <w:rFonts w:ascii="Arial" w:hAnsi="Arial" w:cs="Arial"/>
          <w:sz w:val="20"/>
          <w:szCs w:val="20"/>
        </w:rPr>
        <w:t xml:space="preserve"> (březen 2012)</w:t>
      </w:r>
    </w:p>
    <w:p w:rsidR="001D3D3F" w:rsidRDefault="001D3D3F" w:rsidP="003C73CC">
      <w:pPr>
        <w:numPr>
          <w:ilvl w:val="0"/>
          <w:numId w:val="23"/>
        </w:numPr>
        <w:jc w:val="both"/>
        <w:rPr>
          <w:rFonts w:ascii="Arial" w:hAnsi="Arial" w:cs="Arial"/>
          <w:sz w:val="20"/>
          <w:szCs w:val="20"/>
        </w:rPr>
      </w:pPr>
      <w:r>
        <w:rPr>
          <w:rFonts w:ascii="Arial" w:hAnsi="Arial" w:cs="Arial"/>
          <w:sz w:val="20"/>
          <w:szCs w:val="20"/>
        </w:rPr>
        <w:t>ČSN EN 1838 Světlo a osvětlení – Nouzové osvětlení (červenec 2015)</w:t>
      </w:r>
    </w:p>
    <w:p w:rsidR="00817D43" w:rsidRDefault="00817D43" w:rsidP="003C73CC">
      <w:pPr>
        <w:numPr>
          <w:ilvl w:val="0"/>
          <w:numId w:val="23"/>
        </w:numPr>
        <w:jc w:val="both"/>
        <w:rPr>
          <w:rFonts w:ascii="Arial" w:hAnsi="Arial" w:cs="Arial"/>
          <w:sz w:val="20"/>
          <w:szCs w:val="20"/>
        </w:rPr>
      </w:pPr>
      <w:r>
        <w:rPr>
          <w:rFonts w:ascii="Arial" w:hAnsi="Arial" w:cs="Arial"/>
          <w:sz w:val="20"/>
          <w:szCs w:val="20"/>
        </w:rPr>
        <w:t>ČSN EN 50172 Systémy nouzového únikového osvětlení (únor 2005)</w:t>
      </w:r>
    </w:p>
    <w:p w:rsidR="001D3D3F" w:rsidRPr="003C73CC" w:rsidRDefault="001D3D3F" w:rsidP="003C73CC">
      <w:pPr>
        <w:numPr>
          <w:ilvl w:val="0"/>
          <w:numId w:val="23"/>
        </w:numPr>
        <w:jc w:val="both"/>
        <w:rPr>
          <w:rFonts w:ascii="Arial" w:hAnsi="Arial" w:cs="Arial"/>
          <w:sz w:val="20"/>
          <w:szCs w:val="20"/>
        </w:rPr>
      </w:pPr>
      <w:r>
        <w:rPr>
          <w:rFonts w:ascii="Arial" w:hAnsi="Arial" w:cs="Arial"/>
          <w:sz w:val="20"/>
          <w:szCs w:val="20"/>
        </w:rPr>
        <w:t xml:space="preserve">ČNS 33 24 02 </w:t>
      </w:r>
      <w:proofErr w:type="spellStart"/>
      <w:r>
        <w:rPr>
          <w:rFonts w:ascii="Arial" w:hAnsi="Arial" w:cs="Arial"/>
          <w:sz w:val="20"/>
          <w:szCs w:val="20"/>
        </w:rPr>
        <w:t>ed</w:t>
      </w:r>
      <w:proofErr w:type="spellEnd"/>
      <w:r>
        <w:rPr>
          <w:rFonts w:ascii="Arial" w:hAnsi="Arial" w:cs="Arial"/>
          <w:sz w:val="20"/>
          <w:szCs w:val="20"/>
        </w:rPr>
        <w:t>. 2 Elektrické instalace nízkého napětí – Elektrická zařízení v divadlech a jiných objektech pro kulturní účely (říjen 2009)</w:t>
      </w:r>
    </w:p>
    <w:p w:rsidR="001D3D3F" w:rsidRDefault="001D3D3F" w:rsidP="003C73CC">
      <w:pPr>
        <w:numPr>
          <w:ilvl w:val="0"/>
          <w:numId w:val="23"/>
        </w:numPr>
        <w:jc w:val="both"/>
        <w:rPr>
          <w:rFonts w:ascii="Arial" w:hAnsi="Arial" w:cs="Arial"/>
          <w:sz w:val="20"/>
          <w:szCs w:val="20"/>
        </w:rPr>
      </w:pPr>
      <w:r w:rsidRPr="003C73CC">
        <w:rPr>
          <w:rFonts w:ascii="Arial" w:hAnsi="Arial" w:cs="Arial"/>
          <w:sz w:val="20"/>
          <w:szCs w:val="20"/>
        </w:rPr>
        <w:t>TNI 36 0451 Údržba vnitřních osvětlovacích soustav (červenec 2006)</w:t>
      </w:r>
    </w:p>
    <w:p w:rsidR="00090DC5" w:rsidRPr="00FF6E9A" w:rsidRDefault="00090DC5" w:rsidP="00090DC5">
      <w:pPr>
        <w:numPr>
          <w:ilvl w:val="0"/>
          <w:numId w:val="23"/>
        </w:numPr>
        <w:rPr>
          <w:rFonts w:ascii="Arial" w:hAnsi="Arial" w:cs="Arial"/>
          <w:sz w:val="20"/>
          <w:szCs w:val="20"/>
        </w:rPr>
      </w:pPr>
      <w:r w:rsidRPr="00FF6E9A">
        <w:rPr>
          <w:rFonts w:ascii="Arial" w:hAnsi="Arial" w:cs="Arial"/>
          <w:sz w:val="20"/>
          <w:szCs w:val="20"/>
        </w:rPr>
        <w:t>ČSN 73 0580-1 Denní osvětlení budov – Část 1: Základní požadavky</w:t>
      </w:r>
      <w:r>
        <w:rPr>
          <w:rFonts w:ascii="Arial" w:hAnsi="Arial" w:cs="Arial"/>
          <w:sz w:val="20"/>
          <w:szCs w:val="20"/>
        </w:rPr>
        <w:t xml:space="preserve"> (červen 2007)</w:t>
      </w:r>
    </w:p>
    <w:p w:rsidR="00090DC5" w:rsidRDefault="00090DC5" w:rsidP="00090DC5">
      <w:pPr>
        <w:numPr>
          <w:ilvl w:val="0"/>
          <w:numId w:val="23"/>
        </w:numPr>
        <w:rPr>
          <w:rFonts w:ascii="Arial" w:hAnsi="Arial" w:cs="Arial"/>
          <w:sz w:val="20"/>
          <w:szCs w:val="20"/>
        </w:rPr>
      </w:pPr>
      <w:r w:rsidRPr="00FF6E9A">
        <w:rPr>
          <w:rFonts w:ascii="Arial" w:hAnsi="Arial" w:cs="Arial"/>
          <w:sz w:val="20"/>
          <w:szCs w:val="20"/>
        </w:rPr>
        <w:t>ČSN 36 0020 Sdružené osvětlení</w:t>
      </w:r>
      <w:r>
        <w:rPr>
          <w:rFonts w:ascii="Arial" w:hAnsi="Arial" w:cs="Arial"/>
          <w:sz w:val="20"/>
          <w:szCs w:val="20"/>
        </w:rPr>
        <w:t xml:space="preserve"> (leden 2015)</w:t>
      </w:r>
    </w:p>
    <w:p w:rsidR="00A27705" w:rsidRPr="00A27705" w:rsidRDefault="00A27705" w:rsidP="00183169">
      <w:pPr>
        <w:numPr>
          <w:ilvl w:val="0"/>
          <w:numId w:val="23"/>
        </w:numPr>
        <w:rPr>
          <w:rFonts w:ascii="Arial" w:hAnsi="Arial" w:cs="Arial"/>
          <w:sz w:val="20"/>
          <w:szCs w:val="20"/>
        </w:rPr>
      </w:pPr>
      <w:r w:rsidRPr="00A27705">
        <w:rPr>
          <w:rFonts w:ascii="Arial" w:hAnsi="Arial" w:cs="Arial"/>
          <w:sz w:val="20"/>
          <w:szCs w:val="20"/>
        </w:rPr>
        <w:t>ČSN P CEN/TS 16 163 Ochrana kulturního dědictví - Směrnice a postupy pro výběr vhodného osvětlení do expozice</w:t>
      </w:r>
      <w:r>
        <w:rPr>
          <w:rFonts w:ascii="Arial" w:hAnsi="Arial" w:cs="Arial"/>
          <w:sz w:val="20"/>
          <w:szCs w:val="20"/>
        </w:rPr>
        <w:t xml:space="preserve"> (říjen 2014)</w:t>
      </w:r>
    </w:p>
    <w:p w:rsidR="001D3D3F" w:rsidRPr="003C73CC" w:rsidRDefault="001D3D3F" w:rsidP="003C73CC">
      <w:pPr>
        <w:numPr>
          <w:ilvl w:val="0"/>
          <w:numId w:val="23"/>
        </w:numPr>
        <w:jc w:val="both"/>
        <w:rPr>
          <w:rFonts w:ascii="Arial" w:hAnsi="Arial" w:cs="Arial"/>
          <w:sz w:val="20"/>
          <w:szCs w:val="20"/>
        </w:rPr>
      </w:pPr>
      <w:r w:rsidRPr="003C73CC">
        <w:rPr>
          <w:rFonts w:ascii="Arial" w:hAnsi="Arial" w:cs="Arial"/>
          <w:sz w:val="20"/>
          <w:szCs w:val="20"/>
        </w:rPr>
        <w:t>místní průzkum a analýza současného stavu</w:t>
      </w:r>
    </w:p>
    <w:p w:rsidR="001D3D3F" w:rsidRPr="003C73CC" w:rsidRDefault="001D3D3F" w:rsidP="003C73CC">
      <w:pPr>
        <w:spacing w:before="120"/>
        <w:ind w:left="357" w:firstLine="352"/>
        <w:jc w:val="both"/>
        <w:rPr>
          <w:rFonts w:ascii="Arial" w:hAnsi="Arial" w:cs="Arial"/>
          <w:sz w:val="20"/>
          <w:szCs w:val="20"/>
        </w:rPr>
      </w:pPr>
      <w:r w:rsidRPr="003C73CC">
        <w:rPr>
          <w:rFonts w:ascii="Arial" w:hAnsi="Arial" w:cs="Arial"/>
          <w:sz w:val="20"/>
          <w:szCs w:val="20"/>
        </w:rPr>
        <w:lastRenderedPageBreak/>
        <w:t xml:space="preserve">Pro výpočet světelně technických veličin byl použit výpočetní program </w:t>
      </w:r>
      <w:proofErr w:type="spellStart"/>
      <w:r w:rsidRPr="003C73CC">
        <w:rPr>
          <w:rFonts w:ascii="Arial" w:hAnsi="Arial" w:cs="Arial"/>
          <w:sz w:val="20"/>
          <w:szCs w:val="20"/>
        </w:rPr>
        <w:t>Dialux</w:t>
      </w:r>
      <w:proofErr w:type="spellEnd"/>
      <w:r w:rsidRPr="003C73CC">
        <w:rPr>
          <w:rFonts w:ascii="Arial" w:hAnsi="Arial" w:cs="Arial"/>
          <w:sz w:val="20"/>
          <w:szCs w:val="20"/>
        </w:rPr>
        <w:t>, do kterého byly vloženy fotometrické údaje typových svítidel a světelných zdrojů.</w:t>
      </w:r>
      <w:r w:rsidR="0047561D">
        <w:rPr>
          <w:rFonts w:ascii="Arial" w:hAnsi="Arial" w:cs="Arial"/>
          <w:sz w:val="20"/>
          <w:szCs w:val="20"/>
        </w:rPr>
        <w:t xml:space="preserve"> Výpočty </w:t>
      </w:r>
      <w:r w:rsidR="003151AC" w:rsidRPr="003151AC">
        <w:rPr>
          <w:rFonts w:ascii="Arial" w:hAnsi="Arial" w:cs="Arial"/>
          <w:sz w:val="20"/>
          <w:szCs w:val="20"/>
        </w:rPr>
        <w:t>denního osvětlení byl</w:t>
      </w:r>
      <w:r w:rsidR="003151AC">
        <w:rPr>
          <w:rFonts w:ascii="Arial" w:hAnsi="Arial" w:cs="Arial"/>
          <w:sz w:val="20"/>
          <w:szCs w:val="20"/>
        </w:rPr>
        <w:t>y</w:t>
      </w:r>
      <w:r w:rsidR="003151AC" w:rsidRPr="003151AC">
        <w:rPr>
          <w:rFonts w:ascii="Arial" w:hAnsi="Arial" w:cs="Arial"/>
          <w:sz w:val="20"/>
          <w:szCs w:val="20"/>
        </w:rPr>
        <w:t xml:space="preserve"> proveden</w:t>
      </w:r>
      <w:r w:rsidR="003151AC">
        <w:rPr>
          <w:rFonts w:ascii="Arial" w:hAnsi="Arial" w:cs="Arial"/>
          <w:sz w:val="20"/>
          <w:szCs w:val="20"/>
        </w:rPr>
        <w:t>y</w:t>
      </w:r>
      <w:r w:rsidR="003151AC" w:rsidRPr="003151AC">
        <w:rPr>
          <w:rFonts w:ascii="Arial" w:hAnsi="Arial" w:cs="Arial"/>
          <w:sz w:val="20"/>
          <w:szCs w:val="20"/>
        </w:rPr>
        <w:t xml:space="preserve"> v programu Building Design (Astra Zlín)</w:t>
      </w:r>
      <w:r w:rsidR="003151AC">
        <w:rPr>
          <w:rFonts w:ascii="Arial" w:hAnsi="Arial" w:cs="Arial"/>
          <w:sz w:val="20"/>
          <w:szCs w:val="20"/>
        </w:rPr>
        <w:t>.</w:t>
      </w:r>
    </w:p>
    <w:p w:rsidR="001D3D3F" w:rsidRPr="003C73CC" w:rsidRDefault="001D3D3F" w:rsidP="003C73CC">
      <w:pPr>
        <w:ind w:left="360"/>
        <w:jc w:val="both"/>
        <w:rPr>
          <w:rFonts w:ascii="Arial" w:hAnsi="Arial" w:cs="Arial"/>
          <w:sz w:val="20"/>
          <w:szCs w:val="20"/>
        </w:rPr>
      </w:pPr>
    </w:p>
    <w:p w:rsidR="001D3D3F" w:rsidRPr="00E23C4C" w:rsidRDefault="001D3D3F" w:rsidP="003C73CC">
      <w:pPr>
        <w:numPr>
          <w:ilvl w:val="0"/>
          <w:numId w:val="25"/>
        </w:numPr>
        <w:spacing w:after="120"/>
        <w:jc w:val="both"/>
        <w:rPr>
          <w:rFonts w:ascii="Arial" w:hAnsi="Arial" w:cs="Arial"/>
          <w:b/>
          <w:sz w:val="22"/>
          <w:szCs w:val="22"/>
        </w:rPr>
      </w:pPr>
      <w:r w:rsidRPr="00E23C4C">
        <w:rPr>
          <w:rFonts w:ascii="Arial" w:hAnsi="Arial" w:cs="Arial"/>
          <w:b/>
          <w:sz w:val="22"/>
          <w:szCs w:val="22"/>
        </w:rPr>
        <w:t>Požadavky na osvětlení</w:t>
      </w:r>
    </w:p>
    <w:p w:rsidR="008476B6" w:rsidRPr="00CE05D9" w:rsidRDefault="008476B6" w:rsidP="008476B6">
      <w:pPr>
        <w:ind w:left="360" w:firstLine="349"/>
        <w:jc w:val="both"/>
        <w:rPr>
          <w:rFonts w:ascii="Arial" w:hAnsi="Arial" w:cs="Arial"/>
          <w:sz w:val="20"/>
          <w:szCs w:val="20"/>
        </w:rPr>
      </w:pPr>
      <w:r>
        <w:rPr>
          <w:rFonts w:ascii="Arial" w:hAnsi="Arial" w:cs="Arial"/>
          <w:sz w:val="20"/>
          <w:szCs w:val="20"/>
        </w:rPr>
        <w:t>C</w:t>
      </w:r>
      <w:r w:rsidRPr="00CE05D9">
        <w:rPr>
          <w:rFonts w:ascii="Arial" w:hAnsi="Arial" w:cs="Arial"/>
          <w:sz w:val="20"/>
          <w:szCs w:val="20"/>
        </w:rPr>
        <w:t xml:space="preserve">harakteristickým znakem historické budovy </w:t>
      </w:r>
      <w:r>
        <w:rPr>
          <w:rFonts w:ascii="Arial" w:hAnsi="Arial" w:cs="Arial"/>
          <w:sz w:val="20"/>
          <w:szCs w:val="20"/>
        </w:rPr>
        <w:t xml:space="preserve">jsou </w:t>
      </w:r>
      <w:r w:rsidRPr="00CE05D9">
        <w:rPr>
          <w:rFonts w:ascii="Arial" w:hAnsi="Arial" w:cs="Arial"/>
          <w:sz w:val="20"/>
          <w:szCs w:val="20"/>
        </w:rPr>
        <w:t>místnosti s velkými okny a vysokými stropy. Prostory jsou, zejména v reprezentativním předním traktu, bohatě zdobené historicky cennými štukaturami, obklady i obrazy. Zadní trakt budovy se vyznačuje množstvím malých místností s vysokými a často klenutými stropy. Výjimkou jsou prostory bývalých koupelí, ve kterých výšky místností klesají.</w:t>
      </w:r>
    </w:p>
    <w:p w:rsidR="001D3D3F" w:rsidRDefault="00E23C4C" w:rsidP="00CE05D9">
      <w:pPr>
        <w:ind w:left="360" w:firstLine="349"/>
        <w:jc w:val="both"/>
        <w:rPr>
          <w:rFonts w:ascii="Arial" w:hAnsi="Arial" w:cs="Arial"/>
          <w:sz w:val="20"/>
          <w:szCs w:val="20"/>
        </w:rPr>
      </w:pPr>
      <w:r w:rsidRPr="00E23C4C">
        <w:rPr>
          <w:rFonts w:ascii="Arial" w:hAnsi="Arial" w:cs="Arial"/>
          <w:sz w:val="20"/>
          <w:szCs w:val="20"/>
        </w:rPr>
        <w:t>Z hlediska osvětlení se v objektu Císařských lázní nacházejí prostory pracovní s normami přesně definovanými požadavky na osvětlení a prostory reprezentativní, u kterých je d</w:t>
      </w:r>
      <w:r w:rsidR="001D3D3F" w:rsidRPr="00E23C4C">
        <w:rPr>
          <w:rFonts w:ascii="Arial" w:hAnsi="Arial" w:cs="Arial"/>
          <w:sz w:val="20"/>
          <w:szCs w:val="20"/>
        </w:rPr>
        <w:t>ůležitější</w:t>
      </w:r>
      <w:r w:rsidRPr="00E23C4C">
        <w:rPr>
          <w:rFonts w:ascii="Arial" w:hAnsi="Arial" w:cs="Arial"/>
          <w:sz w:val="20"/>
          <w:szCs w:val="20"/>
        </w:rPr>
        <w:t>,</w:t>
      </w:r>
      <w:r w:rsidR="001D3D3F" w:rsidRPr="00E23C4C">
        <w:rPr>
          <w:rFonts w:ascii="Arial" w:hAnsi="Arial" w:cs="Arial"/>
          <w:sz w:val="20"/>
          <w:szCs w:val="20"/>
        </w:rPr>
        <w:t xml:space="preserve"> než zajištění vysoké rovnoměrnosti a intenzity osvětlení pro vykonáv</w:t>
      </w:r>
      <w:r w:rsidRPr="00E23C4C">
        <w:rPr>
          <w:rFonts w:ascii="Arial" w:hAnsi="Arial" w:cs="Arial"/>
          <w:sz w:val="20"/>
          <w:szCs w:val="20"/>
        </w:rPr>
        <w:t>á</w:t>
      </w:r>
      <w:r w:rsidR="001D3D3F" w:rsidRPr="00E23C4C">
        <w:rPr>
          <w:rFonts w:ascii="Arial" w:hAnsi="Arial" w:cs="Arial"/>
          <w:sz w:val="20"/>
          <w:szCs w:val="20"/>
        </w:rPr>
        <w:t>ní dlouhodobých zrakových úkolů</w:t>
      </w:r>
      <w:r w:rsidRPr="00E23C4C">
        <w:rPr>
          <w:rFonts w:ascii="Arial" w:hAnsi="Arial" w:cs="Arial"/>
          <w:sz w:val="20"/>
          <w:szCs w:val="20"/>
        </w:rPr>
        <w:t>,</w:t>
      </w:r>
      <w:r w:rsidR="001D3D3F" w:rsidRPr="00E23C4C">
        <w:rPr>
          <w:rFonts w:ascii="Arial" w:hAnsi="Arial" w:cs="Arial"/>
          <w:sz w:val="20"/>
          <w:szCs w:val="20"/>
        </w:rPr>
        <w:t xml:space="preserve"> navození odpovídající atmosféry a zrakové pohody.</w:t>
      </w:r>
      <w:r>
        <w:rPr>
          <w:rFonts w:ascii="Arial" w:hAnsi="Arial" w:cs="Arial"/>
          <w:sz w:val="20"/>
          <w:szCs w:val="20"/>
        </w:rPr>
        <w:t xml:space="preserve"> Pracovní a reprezentativní prostory na seb</w:t>
      </w:r>
      <w:r w:rsidR="006470EA">
        <w:rPr>
          <w:rFonts w:ascii="Arial" w:hAnsi="Arial" w:cs="Arial"/>
          <w:sz w:val="20"/>
          <w:szCs w:val="20"/>
        </w:rPr>
        <w:t>e často navazují. Pro zajištění určité rovnoměrnosti a zrakového komfortu bylo osvětlení navrženo tak, aby byly přechody mezi více a méně osvětlenými prostory pozvolné, rozdíly v osvětlenostech na sebe navazujících částí by neměly být větší než o dva stupně v řadě osvětlenosti dle ČSN EN 12464-1.</w:t>
      </w:r>
    </w:p>
    <w:p w:rsidR="00E23C4C" w:rsidRPr="00A76F4F" w:rsidRDefault="00A76F4F" w:rsidP="00CE05D9">
      <w:pPr>
        <w:ind w:left="360" w:firstLine="349"/>
        <w:jc w:val="both"/>
        <w:rPr>
          <w:rFonts w:ascii="Arial" w:hAnsi="Arial" w:cs="Arial"/>
          <w:sz w:val="20"/>
          <w:szCs w:val="20"/>
        </w:rPr>
      </w:pPr>
      <w:r w:rsidRPr="00A76F4F">
        <w:rPr>
          <w:rFonts w:ascii="Arial" w:hAnsi="Arial" w:cs="Arial"/>
          <w:sz w:val="20"/>
          <w:szCs w:val="20"/>
        </w:rPr>
        <w:t xml:space="preserve">Projekt </w:t>
      </w:r>
      <w:r>
        <w:rPr>
          <w:rFonts w:ascii="Arial" w:hAnsi="Arial" w:cs="Arial"/>
          <w:sz w:val="20"/>
          <w:szCs w:val="20"/>
        </w:rPr>
        <w:t>předpokládá použití svítidel s elektronickými předřadníky (napájecími zdroji). Z důvodu zajištění bezpečného provozu je požadováno použití takových předřadníků, které na jednom napájecím okruhu jištěným jističem B10 umožní připojení minimálně 20 svítidel.</w:t>
      </w:r>
    </w:p>
    <w:p w:rsidR="001D3D3F" w:rsidRPr="00E23C4C" w:rsidRDefault="001D3D3F" w:rsidP="00A76F4F">
      <w:pPr>
        <w:jc w:val="both"/>
        <w:rPr>
          <w:rFonts w:ascii="Arial" w:hAnsi="Arial" w:cs="Arial"/>
          <w:sz w:val="20"/>
          <w:szCs w:val="20"/>
        </w:rPr>
      </w:pPr>
    </w:p>
    <w:p w:rsidR="001D3D3F" w:rsidRPr="003C73CC" w:rsidRDefault="001D3D3F" w:rsidP="003C73CC">
      <w:pPr>
        <w:numPr>
          <w:ilvl w:val="0"/>
          <w:numId w:val="25"/>
        </w:numPr>
        <w:spacing w:after="120"/>
        <w:jc w:val="both"/>
        <w:rPr>
          <w:rFonts w:ascii="Arial" w:hAnsi="Arial" w:cs="Arial"/>
          <w:b/>
          <w:sz w:val="22"/>
          <w:szCs w:val="22"/>
        </w:rPr>
      </w:pPr>
      <w:r w:rsidRPr="003C73CC">
        <w:rPr>
          <w:rFonts w:ascii="Arial" w:hAnsi="Arial" w:cs="Arial"/>
          <w:b/>
          <w:sz w:val="22"/>
          <w:szCs w:val="22"/>
        </w:rPr>
        <w:t>Návrh osvětlení</w:t>
      </w:r>
    </w:p>
    <w:p w:rsidR="003151AC" w:rsidRDefault="001D3D3F" w:rsidP="00341779">
      <w:pPr>
        <w:ind w:left="360" w:firstLine="349"/>
        <w:jc w:val="both"/>
        <w:rPr>
          <w:rFonts w:ascii="Arial" w:hAnsi="Arial" w:cs="Arial"/>
          <w:sz w:val="20"/>
          <w:szCs w:val="20"/>
        </w:rPr>
      </w:pPr>
      <w:r w:rsidRPr="00CE05D9">
        <w:rPr>
          <w:rFonts w:ascii="Arial" w:hAnsi="Arial" w:cs="Arial"/>
          <w:sz w:val="20"/>
          <w:szCs w:val="20"/>
        </w:rPr>
        <w:t xml:space="preserve">S ohledem na historický význam </w:t>
      </w:r>
      <w:r w:rsidR="008476B6">
        <w:rPr>
          <w:rFonts w:ascii="Arial" w:hAnsi="Arial" w:cs="Arial"/>
          <w:sz w:val="20"/>
          <w:szCs w:val="20"/>
        </w:rPr>
        <w:t>objektu</w:t>
      </w:r>
      <w:r w:rsidRPr="00CE05D9">
        <w:rPr>
          <w:rFonts w:ascii="Arial" w:hAnsi="Arial" w:cs="Arial"/>
          <w:sz w:val="20"/>
          <w:szCs w:val="20"/>
        </w:rPr>
        <w:t xml:space="preserve"> </w:t>
      </w:r>
      <w:r w:rsidR="008476B6">
        <w:rPr>
          <w:rFonts w:ascii="Arial" w:hAnsi="Arial" w:cs="Arial"/>
          <w:sz w:val="20"/>
          <w:szCs w:val="20"/>
        </w:rPr>
        <w:t>byla snaha využít</w:t>
      </w:r>
      <w:r w:rsidRPr="00CE05D9">
        <w:rPr>
          <w:rFonts w:ascii="Arial" w:hAnsi="Arial" w:cs="Arial"/>
          <w:sz w:val="20"/>
          <w:szCs w:val="20"/>
        </w:rPr>
        <w:t xml:space="preserve"> v maximální možné míře </w:t>
      </w:r>
      <w:r w:rsidR="008476B6">
        <w:rPr>
          <w:rFonts w:ascii="Arial" w:hAnsi="Arial" w:cs="Arial"/>
          <w:sz w:val="20"/>
          <w:szCs w:val="20"/>
        </w:rPr>
        <w:t>dochovaná historická</w:t>
      </w:r>
      <w:r w:rsidRPr="00CE05D9">
        <w:rPr>
          <w:rFonts w:ascii="Arial" w:hAnsi="Arial" w:cs="Arial"/>
          <w:sz w:val="20"/>
          <w:szCs w:val="20"/>
        </w:rPr>
        <w:t xml:space="preserve"> svítidla. Po nezbytné repasi budou tato svítidla osazená moderními světelnými zdroji a vrácená zpět na své místo. Chybějící pozice budou doplněné replikami.</w:t>
      </w:r>
      <w:r w:rsidR="004F723E">
        <w:rPr>
          <w:rFonts w:ascii="Arial" w:hAnsi="Arial" w:cs="Arial"/>
          <w:sz w:val="20"/>
          <w:szCs w:val="20"/>
        </w:rPr>
        <w:t xml:space="preserve"> </w:t>
      </w:r>
      <w:r w:rsidRPr="00CE05D9">
        <w:rPr>
          <w:rFonts w:ascii="Arial" w:hAnsi="Arial" w:cs="Arial"/>
          <w:sz w:val="20"/>
          <w:szCs w:val="20"/>
        </w:rPr>
        <w:t>Na chodbách a v dalších prostorech, kde konstrukce dobových svítidel neumožňuje použití dostatečně výkonných světelných zdrojů pro dosažení potřebných hladin osvětlenosti, budou tato svítidla doplněná svítidly moderními.</w:t>
      </w:r>
    </w:p>
    <w:p w:rsidR="00341779" w:rsidRPr="00D117E2" w:rsidRDefault="00341779" w:rsidP="00341779">
      <w:pPr>
        <w:ind w:left="360" w:firstLine="349"/>
        <w:jc w:val="both"/>
        <w:rPr>
          <w:rFonts w:ascii="Arial" w:hAnsi="Arial" w:cs="Arial"/>
          <w:sz w:val="20"/>
          <w:szCs w:val="20"/>
        </w:rPr>
      </w:pPr>
      <w:r w:rsidRPr="00D117E2">
        <w:rPr>
          <w:rFonts w:ascii="Arial" w:hAnsi="Arial" w:cs="Arial"/>
          <w:sz w:val="20"/>
          <w:szCs w:val="20"/>
        </w:rPr>
        <w:t>Historická svítidla jsou navržen</w:t>
      </w:r>
      <w:r w:rsidR="003151AC">
        <w:rPr>
          <w:rFonts w:ascii="Arial" w:hAnsi="Arial" w:cs="Arial"/>
          <w:sz w:val="20"/>
          <w:szCs w:val="20"/>
        </w:rPr>
        <w:t>á</w:t>
      </w:r>
      <w:r w:rsidRPr="00D117E2">
        <w:rPr>
          <w:rFonts w:ascii="Arial" w:hAnsi="Arial" w:cs="Arial"/>
          <w:sz w:val="20"/>
          <w:szCs w:val="20"/>
        </w:rPr>
        <w:t xml:space="preserve"> zejména v reprezentativním předním traktu budovy a v okružních chodbách zadního traktu (promenoárech). V rámci repasování budou svítidla vyčištěna a spasována, budou doplněné chybějící části, renovované elektrické části a svítidla budou osazena moderními světelnými zdroji. Při manipulaci je nutno každý prvek včas označit identifikačním označením a v případě prvku vyšší kvality je nutno odstrojení a demontáž provádět pod odborným dohledem. Při přepravě je nutno zajistit dokonalou ochranu proti případnému rozbití.</w:t>
      </w:r>
    </w:p>
    <w:p w:rsidR="00341779" w:rsidRPr="00D117E2" w:rsidRDefault="00341779" w:rsidP="00341779">
      <w:pPr>
        <w:ind w:left="360" w:firstLine="349"/>
        <w:jc w:val="both"/>
        <w:rPr>
          <w:rFonts w:ascii="Arial" w:hAnsi="Arial" w:cs="Arial"/>
          <w:sz w:val="20"/>
          <w:szCs w:val="20"/>
        </w:rPr>
      </w:pPr>
      <w:r w:rsidRPr="00D117E2">
        <w:rPr>
          <w:rFonts w:ascii="Arial" w:hAnsi="Arial" w:cs="Arial"/>
          <w:sz w:val="20"/>
          <w:szCs w:val="20"/>
        </w:rPr>
        <w:t>Část historických svítidel bude využívaná v kombinovaném provozu pro provozní i nouzové osvětlení. Tato svítidla budou vybaven</w:t>
      </w:r>
      <w:r w:rsidR="004F723E">
        <w:rPr>
          <w:rFonts w:ascii="Arial" w:hAnsi="Arial" w:cs="Arial"/>
          <w:sz w:val="20"/>
          <w:szCs w:val="20"/>
        </w:rPr>
        <w:t>á</w:t>
      </w:r>
      <w:r w:rsidRPr="00D117E2">
        <w:rPr>
          <w:rFonts w:ascii="Arial" w:hAnsi="Arial" w:cs="Arial"/>
          <w:sz w:val="20"/>
          <w:szCs w:val="20"/>
        </w:rPr>
        <w:t xml:space="preserve"> příslušnými moduly pro provoz s centrálními napájecími zdroji nouzového osvětlení, instalovanými podle možností buď přímo ve svítidle, nebo odděleně v jeho blízkosti. Osazení nouzových modulů bude vyžadovat součinnost restaurátora a dodavatele nouzového systému.</w:t>
      </w:r>
    </w:p>
    <w:p w:rsidR="00341779" w:rsidRDefault="00341779" w:rsidP="00341779">
      <w:pPr>
        <w:ind w:left="360" w:firstLine="349"/>
        <w:jc w:val="both"/>
        <w:rPr>
          <w:rFonts w:ascii="Arial" w:hAnsi="Arial" w:cs="Arial"/>
          <w:sz w:val="20"/>
          <w:szCs w:val="20"/>
        </w:rPr>
      </w:pPr>
      <w:r w:rsidRPr="00D117E2">
        <w:rPr>
          <w:rFonts w:ascii="Arial" w:hAnsi="Arial" w:cs="Arial"/>
          <w:sz w:val="20"/>
          <w:szCs w:val="20"/>
        </w:rPr>
        <w:t>Repasovaná svítidla budou před montáží revidována a bude na ně vystavena výchozí revize elektrických zařízení. Podrobná specifikace historických svítidel je uvedená v pasportu uměleckých a umělecko-řemeslných prvků, část „C - lustry, svítidla“ a v knize svítidel.</w:t>
      </w:r>
    </w:p>
    <w:p w:rsidR="004F723E" w:rsidRPr="00CE05D9" w:rsidRDefault="004F723E" w:rsidP="004F723E">
      <w:pPr>
        <w:ind w:left="360" w:firstLine="349"/>
        <w:jc w:val="both"/>
        <w:rPr>
          <w:rFonts w:ascii="Arial" w:hAnsi="Arial" w:cs="Arial"/>
          <w:sz w:val="20"/>
          <w:szCs w:val="20"/>
        </w:rPr>
      </w:pPr>
      <w:r w:rsidRPr="00CE05D9">
        <w:rPr>
          <w:rFonts w:ascii="Arial" w:hAnsi="Arial" w:cs="Arial"/>
          <w:sz w:val="20"/>
          <w:szCs w:val="20"/>
        </w:rPr>
        <w:t>V prostorech zadního traktu budou na místě původních převlékáren a koupelových kabin nově vybudované expoziční</w:t>
      </w:r>
      <w:r>
        <w:rPr>
          <w:rFonts w:ascii="Arial" w:hAnsi="Arial" w:cs="Arial"/>
          <w:sz w:val="20"/>
          <w:szCs w:val="20"/>
        </w:rPr>
        <w:t>, nájemní</w:t>
      </w:r>
      <w:r w:rsidRPr="00CE05D9">
        <w:rPr>
          <w:rFonts w:ascii="Arial" w:hAnsi="Arial" w:cs="Arial"/>
          <w:sz w:val="20"/>
          <w:szCs w:val="20"/>
        </w:rPr>
        <w:t xml:space="preserve"> a provozní prostory s nezbytným zázemím. V</w:t>
      </w:r>
      <w:r>
        <w:rPr>
          <w:rFonts w:ascii="Arial" w:hAnsi="Arial" w:cs="Arial"/>
          <w:sz w:val="20"/>
          <w:szCs w:val="20"/>
        </w:rPr>
        <w:t> řešených místnostech</w:t>
      </w:r>
      <w:r w:rsidRPr="00CE05D9">
        <w:rPr>
          <w:rFonts w:ascii="Arial" w:hAnsi="Arial" w:cs="Arial"/>
          <w:sz w:val="20"/>
          <w:szCs w:val="20"/>
        </w:rPr>
        <w:t xml:space="preserve"> </w:t>
      </w:r>
      <w:r>
        <w:rPr>
          <w:rFonts w:ascii="Arial" w:hAnsi="Arial" w:cs="Arial"/>
          <w:sz w:val="20"/>
          <w:szCs w:val="20"/>
        </w:rPr>
        <w:t xml:space="preserve">je osvětlení navržené jednotně </w:t>
      </w:r>
      <w:r w:rsidRPr="00CE05D9">
        <w:rPr>
          <w:rFonts w:ascii="Arial" w:hAnsi="Arial" w:cs="Arial"/>
          <w:sz w:val="20"/>
          <w:szCs w:val="20"/>
        </w:rPr>
        <w:t>moderními svítidly zavěšenými od stropu na ocelových lankových závěsech. Svítidla budou umístěná ve výšce nadpraží, cca 260 cm nad podlahou a vytvoří tak v úzkých a vysokých místnostech jednotnou světelnou hladinu, která prostory vizuálně zpříjemní.</w:t>
      </w:r>
    </w:p>
    <w:p w:rsidR="004F723E" w:rsidRDefault="004F723E" w:rsidP="004F723E">
      <w:pPr>
        <w:ind w:left="360" w:firstLine="349"/>
        <w:jc w:val="both"/>
        <w:rPr>
          <w:rFonts w:ascii="Arial" w:hAnsi="Arial" w:cs="Arial"/>
          <w:sz w:val="20"/>
          <w:szCs w:val="20"/>
        </w:rPr>
      </w:pPr>
      <w:r w:rsidRPr="00CE05D9">
        <w:rPr>
          <w:rFonts w:ascii="Arial" w:hAnsi="Arial" w:cs="Arial"/>
          <w:sz w:val="20"/>
          <w:szCs w:val="20"/>
        </w:rPr>
        <w:t>Moderní svítidla jsou navržená ve dvojím standardu, vyšším pro veřejně přístupné prostory, kanceláře, šatny a sociální zázemí, nižším pak pro skladové prostory, technické místnosti a depozitáře. Světelně-technické parametry svítidel jsou podrobně popsané v knize svítidel</w:t>
      </w:r>
      <w:r>
        <w:rPr>
          <w:rFonts w:ascii="Arial" w:hAnsi="Arial" w:cs="Arial"/>
          <w:sz w:val="20"/>
          <w:szCs w:val="20"/>
        </w:rPr>
        <w:t>, p</w:t>
      </w:r>
      <w:r w:rsidRPr="00CE05D9">
        <w:rPr>
          <w:rFonts w:ascii="Arial" w:hAnsi="Arial" w:cs="Arial"/>
          <w:sz w:val="20"/>
          <w:szCs w:val="20"/>
        </w:rPr>
        <w:t>ředepsané parametry nesmí být podkročeny. Předpokládá se použití výrobků renomovan</w:t>
      </w:r>
      <w:r>
        <w:rPr>
          <w:rFonts w:ascii="Arial" w:hAnsi="Arial" w:cs="Arial"/>
          <w:sz w:val="20"/>
          <w:szCs w:val="20"/>
        </w:rPr>
        <w:t>ých</w:t>
      </w:r>
      <w:r w:rsidRPr="00CE05D9">
        <w:rPr>
          <w:rFonts w:ascii="Arial" w:hAnsi="Arial" w:cs="Arial"/>
          <w:sz w:val="20"/>
          <w:szCs w:val="20"/>
        </w:rPr>
        <w:t xml:space="preserve"> výrobc</w:t>
      </w:r>
      <w:r>
        <w:rPr>
          <w:rFonts w:ascii="Arial" w:hAnsi="Arial" w:cs="Arial"/>
          <w:sz w:val="20"/>
          <w:szCs w:val="20"/>
        </w:rPr>
        <w:t>ů</w:t>
      </w:r>
      <w:r w:rsidRPr="00CE05D9">
        <w:rPr>
          <w:rFonts w:ascii="Arial" w:hAnsi="Arial" w:cs="Arial"/>
          <w:sz w:val="20"/>
          <w:szCs w:val="20"/>
        </w:rPr>
        <w:t>, kvalitně zpracovaných a vyr</w:t>
      </w:r>
      <w:r>
        <w:rPr>
          <w:rFonts w:ascii="Arial" w:hAnsi="Arial" w:cs="Arial"/>
          <w:sz w:val="20"/>
          <w:szCs w:val="20"/>
        </w:rPr>
        <w:t>obených z kvalitních materiálů.</w:t>
      </w:r>
    </w:p>
    <w:p w:rsidR="001D3D3F" w:rsidRPr="00CE05D9" w:rsidRDefault="001D3D3F" w:rsidP="00CE05D9">
      <w:pPr>
        <w:ind w:left="360" w:firstLine="349"/>
        <w:jc w:val="both"/>
        <w:rPr>
          <w:rFonts w:ascii="Arial" w:hAnsi="Arial" w:cs="Arial"/>
          <w:sz w:val="20"/>
          <w:szCs w:val="20"/>
        </w:rPr>
      </w:pPr>
    </w:p>
    <w:p w:rsidR="001D3D3F" w:rsidRPr="00224F1C" w:rsidRDefault="002308C6" w:rsidP="00224F1C">
      <w:pPr>
        <w:spacing w:after="60"/>
        <w:ind w:left="357"/>
        <w:jc w:val="both"/>
        <w:rPr>
          <w:rFonts w:ascii="Arial" w:hAnsi="Arial" w:cs="Arial"/>
          <w:sz w:val="20"/>
          <w:szCs w:val="20"/>
          <w:u w:val="single"/>
        </w:rPr>
      </w:pPr>
      <w:r>
        <w:rPr>
          <w:rFonts w:ascii="Arial" w:hAnsi="Arial" w:cs="Arial"/>
          <w:sz w:val="20"/>
          <w:szCs w:val="20"/>
          <w:u w:val="single"/>
        </w:rPr>
        <w:br w:type="page"/>
      </w:r>
      <w:r w:rsidR="001D3D3F" w:rsidRPr="00224F1C">
        <w:rPr>
          <w:rFonts w:ascii="Arial" w:hAnsi="Arial" w:cs="Arial"/>
          <w:sz w:val="20"/>
          <w:szCs w:val="20"/>
          <w:u w:val="single"/>
        </w:rPr>
        <w:lastRenderedPageBreak/>
        <w:t>Provozní osvětlení</w:t>
      </w:r>
    </w:p>
    <w:p w:rsidR="009C2444" w:rsidRDefault="001D3D3F" w:rsidP="00CE05D9">
      <w:pPr>
        <w:ind w:left="360" w:firstLine="349"/>
        <w:jc w:val="both"/>
        <w:rPr>
          <w:rFonts w:ascii="Arial" w:hAnsi="Arial" w:cs="Arial"/>
          <w:sz w:val="20"/>
          <w:szCs w:val="20"/>
        </w:rPr>
      </w:pPr>
      <w:r w:rsidRPr="00CE05D9">
        <w:rPr>
          <w:rFonts w:ascii="Arial" w:hAnsi="Arial" w:cs="Arial"/>
          <w:sz w:val="20"/>
          <w:szCs w:val="20"/>
        </w:rPr>
        <w:t xml:space="preserve">Soustava provozního osvětlení </w:t>
      </w:r>
      <w:r w:rsidR="00224F1C">
        <w:rPr>
          <w:rFonts w:ascii="Arial" w:hAnsi="Arial" w:cs="Arial"/>
          <w:sz w:val="20"/>
          <w:szCs w:val="20"/>
        </w:rPr>
        <w:t>slouží k běžnému každodennímu provozu. N</w:t>
      </w:r>
      <w:r w:rsidRPr="00CE05D9">
        <w:rPr>
          <w:rFonts w:ascii="Arial" w:hAnsi="Arial" w:cs="Arial"/>
          <w:sz w:val="20"/>
          <w:szCs w:val="20"/>
        </w:rPr>
        <w:t xml:space="preserve">avržená </w:t>
      </w:r>
      <w:r w:rsidR="00224F1C">
        <w:rPr>
          <w:rFonts w:ascii="Arial" w:hAnsi="Arial" w:cs="Arial"/>
          <w:sz w:val="20"/>
          <w:szCs w:val="20"/>
        </w:rPr>
        <w:t xml:space="preserve">je </w:t>
      </w:r>
      <w:r w:rsidRPr="00CE05D9">
        <w:rPr>
          <w:rFonts w:ascii="Arial" w:hAnsi="Arial" w:cs="Arial"/>
          <w:sz w:val="20"/>
          <w:szCs w:val="20"/>
        </w:rPr>
        <w:t xml:space="preserve">tak, aby </w:t>
      </w:r>
      <w:r w:rsidR="00224F1C">
        <w:rPr>
          <w:rFonts w:ascii="Arial" w:hAnsi="Arial" w:cs="Arial"/>
          <w:sz w:val="20"/>
          <w:szCs w:val="20"/>
        </w:rPr>
        <w:t>zajišťovala</w:t>
      </w:r>
      <w:r w:rsidRPr="00CE05D9">
        <w:rPr>
          <w:rFonts w:ascii="Arial" w:hAnsi="Arial" w:cs="Arial"/>
          <w:sz w:val="20"/>
          <w:szCs w:val="20"/>
        </w:rPr>
        <w:t xml:space="preserve"> odpovídající parametry z hlediska zrakového výkonu</w:t>
      </w:r>
      <w:r w:rsidR="00224F1C">
        <w:rPr>
          <w:rFonts w:ascii="Arial" w:hAnsi="Arial" w:cs="Arial"/>
          <w:sz w:val="20"/>
          <w:szCs w:val="20"/>
        </w:rPr>
        <w:t>, zrakové pohody a bezpečnosti. Většina navržených svítidel je navržená v jednoduchých tvarech – prstenci, válci nebo hranolu, které se v celém objektu opakují a svým vzhledem ne</w:t>
      </w:r>
      <w:r w:rsidR="00654FC4">
        <w:rPr>
          <w:rFonts w:ascii="Arial" w:hAnsi="Arial" w:cs="Arial"/>
          <w:sz w:val="20"/>
          <w:szCs w:val="20"/>
        </w:rPr>
        <w:t>kolidují</w:t>
      </w:r>
      <w:r w:rsidR="00224F1C">
        <w:rPr>
          <w:rFonts w:ascii="Arial" w:hAnsi="Arial" w:cs="Arial"/>
          <w:sz w:val="20"/>
          <w:szCs w:val="20"/>
        </w:rPr>
        <w:t xml:space="preserve"> </w:t>
      </w:r>
      <w:r w:rsidR="00654FC4">
        <w:rPr>
          <w:rFonts w:ascii="Arial" w:hAnsi="Arial" w:cs="Arial"/>
          <w:sz w:val="20"/>
          <w:szCs w:val="20"/>
        </w:rPr>
        <w:t xml:space="preserve">se </w:t>
      </w:r>
      <w:r w:rsidR="00224F1C">
        <w:rPr>
          <w:rFonts w:ascii="Arial" w:hAnsi="Arial" w:cs="Arial"/>
          <w:sz w:val="20"/>
          <w:szCs w:val="20"/>
        </w:rPr>
        <w:t>zdoben</w:t>
      </w:r>
      <w:r w:rsidR="00654FC4">
        <w:rPr>
          <w:rFonts w:ascii="Arial" w:hAnsi="Arial" w:cs="Arial"/>
          <w:sz w:val="20"/>
          <w:szCs w:val="20"/>
        </w:rPr>
        <w:t>ými</w:t>
      </w:r>
      <w:r w:rsidR="00224F1C">
        <w:rPr>
          <w:rFonts w:ascii="Arial" w:hAnsi="Arial" w:cs="Arial"/>
          <w:sz w:val="20"/>
          <w:szCs w:val="20"/>
        </w:rPr>
        <w:t xml:space="preserve"> </w:t>
      </w:r>
      <w:r w:rsidR="00654FC4">
        <w:rPr>
          <w:rFonts w:ascii="Arial" w:hAnsi="Arial" w:cs="Arial"/>
          <w:sz w:val="20"/>
          <w:szCs w:val="20"/>
        </w:rPr>
        <w:t xml:space="preserve">historickými </w:t>
      </w:r>
      <w:r w:rsidR="00224F1C">
        <w:rPr>
          <w:rFonts w:ascii="Arial" w:hAnsi="Arial" w:cs="Arial"/>
          <w:sz w:val="20"/>
          <w:szCs w:val="20"/>
        </w:rPr>
        <w:t>svítidl</w:t>
      </w:r>
      <w:r w:rsidR="00654FC4">
        <w:rPr>
          <w:rFonts w:ascii="Arial" w:hAnsi="Arial" w:cs="Arial"/>
          <w:sz w:val="20"/>
          <w:szCs w:val="20"/>
        </w:rPr>
        <w:t>y</w:t>
      </w:r>
      <w:r w:rsidR="00224F1C">
        <w:rPr>
          <w:rFonts w:ascii="Arial" w:hAnsi="Arial" w:cs="Arial"/>
          <w:sz w:val="20"/>
          <w:szCs w:val="20"/>
        </w:rPr>
        <w:t>, výzdob</w:t>
      </w:r>
      <w:r w:rsidR="00654FC4">
        <w:rPr>
          <w:rFonts w:ascii="Arial" w:hAnsi="Arial" w:cs="Arial"/>
          <w:sz w:val="20"/>
          <w:szCs w:val="20"/>
        </w:rPr>
        <w:t>o</w:t>
      </w:r>
      <w:r w:rsidR="00224F1C">
        <w:rPr>
          <w:rFonts w:ascii="Arial" w:hAnsi="Arial" w:cs="Arial"/>
          <w:sz w:val="20"/>
          <w:szCs w:val="20"/>
        </w:rPr>
        <w:t>u ani interiérov</w:t>
      </w:r>
      <w:r w:rsidR="00654FC4">
        <w:rPr>
          <w:rFonts w:ascii="Arial" w:hAnsi="Arial" w:cs="Arial"/>
          <w:sz w:val="20"/>
          <w:szCs w:val="20"/>
        </w:rPr>
        <w:t>ými</w:t>
      </w:r>
      <w:r w:rsidR="00224F1C">
        <w:rPr>
          <w:rFonts w:ascii="Arial" w:hAnsi="Arial" w:cs="Arial"/>
          <w:sz w:val="20"/>
          <w:szCs w:val="20"/>
        </w:rPr>
        <w:t xml:space="preserve"> prvky.</w:t>
      </w:r>
    </w:p>
    <w:p w:rsidR="00654FC4" w:rsidRDefault="00654FC4" w:rsidP="00CE05D9">
      <w:pPr>
        <w:ind w:left="360" w:firstLine="349"/>
        <w:jc w:val="both"/>
        <w:rPr>
          <w:rFonts w:ascii="Arial" w:hAnsi="Arial" w:cs="Arial"/>
          <w:sz w:val="20"/>
          <w:szCs w:val="20"/>
        </w:rPr>
      </w:pPr>
    </w:p>
    <w:p w:rsidR="00335706" w:rsidRDefault="00335706" w:rsidP="00335706">
      <w:pPr>
        <w:ind w:left="360" w:firstLine="349"/>
        <w:jc w:val="both"/>
        <w:rPr>
          <w:rFonts w:ascii="Arial" w:hAnsi="Arial" w:cs="Arial"/>
          <w:sz w:val="20"/>
          <w:szCs w:val="20"/>
        </w:rPr>
      </w:pPr>
    </w:p>
    <w:p w:rsidR="00335706" w:rsidRPr="00654FC4" w:rsidRDefault="00335706" w:rsidP="00335706">
      <w:pPr>
        <w:spacing w:after="60"/>
        <w:ind w:left="357"/>
        <w:jc w:val="both"/>
        <w:rPr>
          <w:rFonts w:ascii="Arial" w:hAnsi="Arial" w:cs="Arial"/>
          <w:i/>
          <w:sz w:val="20"/>
          <w:szCs w:val="20"/>
        </w:rPr>
      </w:pPr>
      <w:r>
        <w:rPr>
          <w:rFonts w:ascii="Arial" w:hAnsi="Arial" w:cs="Arial"/>
          <w:i/>
          <w:sz w:val="20"/>
          <w:szCs w:val="20"/>
        </w:rPr>
        <w:t>Promenoáry a sociální zázemí</w:t>
      </w:r>
    </w:p>
    <w:p w:rsidR="00335706" w:rsidRDefault="008C631A" w:rsidP="004C6BEC">
      <w:pPr>
        <w:ind w:left="360" w:firstLine="349"/>
        <w:jc w:val="both"/>
        <w:rPr>
          <w:rFonts w:ascii="Arial" w:hAnsi="Arial" w:cs="Arial"/>
          <w:sz w:val="20"/>
          <w:szCs w:val="20"/>
        </w:rPr>
      </w:pPr>
      <w:r>
        <w:rPr>
          <w:rFonts w:ascii="Arial" w:hAnsi="Arial" w:cs="Arial"/>
          <w:sz w:val="20"/>
          <w:szCs w:val="20"/>
        </w:rPr>
        <w:t>Na promenoárech budou závěsná historická svítidla doplněná jednoduchými moderními nástěnnými svítidly s nepřímým vyzařováním. Nástěnná svítidla budou regulovatelná a v běžném provozu ovládaná na zákl</w:t>
      </w:r>
      <w:r w:rsidR="009D2C26">
        <w:rPr>
          <w:rFonts w:ascii="Arial" w:hAnsi="Arial" w:cs="Arial"/>
          <w:sz w:val="20"/>
          <w:szCs w:val="20"/>
        </w:rPr>
        <w:t>adě signálů z pohybových čidel.</w:t>
      </w:r>
    </w:p>
    <w:p w:rsidR="009D2C26" w:rsidRDefault="009D2C26" w:rsidP="004C6BEC">
      <w:pPr>
        <w:ind w:left="360" w:firstLine="349"/>
        <w:jc w:val="both"/>
        <w:rPr>
          <w:rFonts w:ascii="Arial" w:hAnsi="Arial" w:cs="Arial"/>
          <w:sz w:val="20"/>
          <w:szCs w:val="20"/>
        </w:rPr>
      </w:pPr>
      <w:r>
        <w:rPr>
          <w:rFonts w:ascii="Arial" w:hAnsi="Arial" w:cs="Arial"/>
          <w:sz w:val="20"/>
          <w:szCs w:val="20"/>
        </w:rPr>
        <w:t xml:space="preserve">V místnostech sociálního zázemí jsou pro základní rovnoměrné osvětlení navržená nepřímo vyzařující svítidla instalovaná skrytě na stropech vložených </w:t>
      </w:r>
      <w:proofErr w:type="spellStart"/>
      <w:r>
        <w:rPr>
          <w:rFonts w:ascii="Arial" w:hAnsi="Arial" w:cs="Arial"/>
          <w:sz w:val="20"/>
          <w:szCs w:val="20"/>
        </w:rPr>
        <w:t>vestavků</w:t>
      </w:r>
      <w:proofErr w:type="spellEnd"/>
      <w:r>
        <w:rPr>
          <w:rFonts w:ascii="Arial" w:hAnsi="Arial" w:cs="Arial"/>
          <w:sz w:val="20"/>
          <w:szCs w:val="20"/>
        </w:rPr>
        <w:t>. V úpravnách budou nad zrcadly jednoduchá nástěnná svítid</w:t>
      </w:r>
      <w:r w:rsidR="00F57611">
        <w:rPr>
          <w:rFonts w:ascii="Arial" w:hAnsi="Arial" w:cs="Arial"/>
          <w:sz w:val="20"/>
          <w:szCs w:val="20"/>
        </w:rPr>
        <w:t>la, v kabinkách WC jsou navržena</w:t>
      </w:r>
      <w:r>
        <w:rPr>
          <w:rFonts w:ascii="Arial" w:hAnsi="Arial" w:cs="Arial"/>
          <w:sz w:val="20"/>
          <w:szCs w:val="20"/>
        </w:rPr>
        <w:t xml:space="preserve"> svítidla p</w:t>
      </w:r>
      <w:r w:rsidR="00F57611">
        <w:rPr>
          <w:rFonts w:ascii="Arial" w:hAnsi="Arial" w:cs="Arial"/>
          <w:sz w:val="20"/>
          <w:szCs w:val="20"/>
        </w:rPr>
        <w:t>řisazená</w:t>
      </w:r>
      <w:r>
        <w:rPr>
          <w:rFonts w:ascii="Arial" w:hAnsi="Arial" w:cs="Arial"/>
          <w:sz w:val="20"/>
          <w:szCs w:val="20"/>
        </w:rPr>
        <w:t xml:space="preserve">. </w:t>
      </w:r>
    </w:p>
    <w:p w:rsidR="00335706" w:rsidRDefault="00335706" w:rsidP="00335706">
      <w:pPr>
        <w:ind w:left="360" w:firstLine="349"/>
        <w:jc w:val="both"/>
        <w:rPr>
          <w:rFonts w:ascii="Arial" w:hAnsi="Arial" w:cs="Arial"/>
          <w:sz w:val="20"/>
          <w:szCs w:val="20"/>
        </w:rPr>
      </w:pPr>
    </w:p>
    <w:p w:rsidR="0070419D" w:rsidRPr="0070419D" w:rsidRDefault="0070419D" w:rsidP="0070419D">
      <w:pPr>
        <w:ind w:left="360" w:firstLine="349"/>
        <w:jc w:val="both"/>
        <w:rPr>
          <w:rFonts w:ascii="Arial" w:hAnsi="Arial" w:cs="Arial"/>
          <w:sz w:val="20"/>
          <w:szCs w:val="20"/>
        </w:rPr>
      </w:pPr>
    </w:p>
    <w:p w:rsidR="0070419D" w:rsidRPr="0070419D" w:rsidRDefault="0070419D" w:rsidP="0070419D">
      <w:pPr>
        <w:spacing w:after="60"/>
        <w:ind w:left="357"/>
        <w:jc w:val="both"/>
        <w:rPr>
          <w:rFonts w:ascii="Arial" w:hAnsi="Arial" w:cs="Arial"/>
          <w:i/>
          <w:sz w:val="20"/>
          <w:szCs w:val="20"/>
        </w:rPr>
      </w:pPr>
      <w:r w:rsidRPr="0070419D">
        <w:rPr>
          <w:rFonts w:ascii="Arial" w:hAnsi="Arial" w:cs="Arial"/>
          <w:i/>
          <w:sz w:val="20"/>
          <w:szCs w:val="20"/>
        </w:rPr>
        <w:t>Nájemní jednotky</w:t>
      </w:r>
    </w:p>
    <w:p w:rsidR="0070419D" w:rsidRDefault="0070419D" w:rsidP="0070419D">
      <w:pPr>
        <w:ind w:left="360" w:firstLine="349"/>
        <w:jc w:val="both"/>
        <w:rPr>
          <w:rFonts w:ascii="Arial" w:hAnsi="Arial" w:cs="Arial"/>
          <w:sz w:val="20"/>
          <w:szCs w:val="20"/>
        </w:rPr>
      </w:pPr>
      <w:r w:rsidRPr="0070419D">
        <w:rPr>
          <w:rFonts w:ascii="Arial" w:hAnsi="Arial" w:cs="Arial"/>
          <w:sz w:val="20"/>
          <w:szCs w:val="20"/>
        </w:rPr>
        <w:t>V</w:t>
      </w:r>
      <w:r>
        <w:rPr>
          <w:rFonts w:ascii="Arial" w:hAnsi="Arial" w:cs="Arial"/>
          <w:sz w:val="20"/>
          <w:szCs w:val="20"/>
        </w:rPr>
        <w:t xml:space="preserve"> nájemních jednotkách budou v rámci rekonstrukce objektu instalovaná svítidla. </w:t>
      </w:r>
    </w:p>
    <w:p w:rsidR="00966008" w:rsidRDefault="00966008" w:rsidP="00966008">
      <w:pPr>
        <w:ind w:left="360"/>
        <w:jc w:val="both"/>
        <w:rPr>
          <w:rFonts w:ascii="Arial" w:hAnsi="Arial" w:cs="Arial"/>
          <w:sz w:val="20"/>
          <w:szCs w:val="20"/>
        </w:rPr>
      </w:pPr>
      <w:r w:rsidRPr="00966008">
        <w:rPr>
          <w:rFonts w:ascii="Arial" w:hAnsi="Arial" w:cs="Arial"/>
          <w:sz w:val="20"/>
          <w:szCs w:val="20"/>
        </w:rPr>
        <w:t xml:space="preserve">Na pracovištích bude kombinací stojanových svítidel a zabudovaných svítidel zajištěna udržovaná osvětlenost 1000 </w:t>
      </w:r>
      <w:proofErr w:type="spellStart"/>
      <w:r w:rsidRPr="00966008">
        <w:rPr>
          <w:rFonts w:ascii="Arial" w:hAnsi="Arial" w:cs="Arial"/>
          <w:sz w:val="20"/>
          <w:szCs w:val="20"/>
        </w:rPr>
        <w:t>lx</w:t>
      </w:r>
      <w:proofErr w:type="spellEnd"/>
      <w:r w:rsidRPr="00966008">
        <w:rPr>
          <w:rFonts w:ascii="Arial" w:hAnsi="Arial" w:cs="Arial"/>
          <w:sz w:val="20"/>
          <w:szCs w:val="20"/>
        </w:rPr>
        <w:t>, rovnoměrnost osvětlení r &gt; 0,6 a činitel oslnění UGR &lt; 19, dle požadavků ČSN EN 12464-1;2022.</w:t>
      </w:r>
    </w:p>
    <w:p w:rsidR="00966008" w:rsidRDefault="00966008" w:rsidP="00966008">
      <w:pPr>
        <w:ind w:left="360"/>
        <w:jc w:val="both"/>
        <w:rPr>
          <w:rFonts w:ascii="Arial" w:hAnsi="Arial" w:cs="Arial"/>
          <w:sz w:val="20"/>
          <w:szCs w:val="20"/>
        </w:rPr>
      </w:pPr>
    </w:p>
    <w:p w:rsidR="00966008" w:rsidRPr="00966008" w:rsidRDefault="00966008" w:rsidP="00966008">
      <w:pPr>
        <w:ind w:left="360"/>
        <w:jc w:val="both"/>
        <w:rPr>
          <w:rFonts w:ascii="Arial" w:hAnsi="Arial" w:cs="Arial"/>
          <w:sz w:val="20"/>
          <w:szCs w:val="20"/>
        </w:rPr>
      </w:pPr>
      <w:r w:rsidRPr="00966008">
        <w:rPr>
          <w:rFonts w:ascii="Arial" w:hAnsi="Arial" w:cs="Arial"/>
          <w:sz w:val="20"/>
          <w:szCs w:val="20"/>
        </w:rPr>
        <w:t>1)</w:t>
      </w:r>
      <w:r w:rsidRPr="00966008">
        <w:rPr>
          <w:rFonts w:ascii="Arial" w:hAnsi="Arial" w:cs="Arial"/>
          <w:sz w:val="20"/>
          <w:szCs w:val="20"/>
        </w:rPr>
        <w:tab/>
        <w:t xml:space="preserve">V kancelářích ve 2.NP a v režii 3.121 bude zajištěna osvětlenost na pracovištích zejména pomocí stojanových svítidel M13, která budou individuálně </w:t>
      </w:r>
      <w:proofErr w:type="spellStart"/>
      <w:r w:rsidRPr="00966008">
        <w:rPr>
          <w:rFonts w:ascii="Arial" w:hAnsi="Arial" w:cs="Arial"/>
          <w:sz w:val="20"/>
          <w:szCs w:val="20"/>
        </w:rPr>
        <w:t>stmívatelná</w:t>
      </w:r>
      <w:proofErr w:type="spellEnd"/>
      <w:r w:rsidRPr="00966008">
        <w:rPr>
          <w:rFonts w:ascii="Arial" w:hAnsi="Arial" w:cs="Arial"/>
          <w:sz w:val="20"/>
          <w:szCs w:val="20"/>
        </w:rPr>
        <w:t xml:space="preserve">. Pro základní orientaci, úklid apod. budou nástěnná svítidla s nepřímým osvětlením M8, umístěná zpravidla nad vstupními dveřmi, svítidla </w:t>
      </w:r>
      <w:proofErr w:type="gramStart"/>
      <w:r w:rsidRPr="00966008">
        <w:rPr>
          <w:rFonts w:ascii="Arial" w:hAnsi="Arial" w:cs="Arial"/>
          <w:sz w:val="20"/>
          <w:szCs w:val="20"/>
        </w:rPr>
        <w:t>budou</w:t>
      </w:r>
      <w:proofErr w:type="gramEnd"/>
      <w:r w:rsidRPr="00966008">
        <w:rPr>
          <w:rFonts w:ascii="Arial" w:hAnsi="Arial" w:cs="Arial"/>
          <w:sz w:val="20"/>
          <w:szCs w:val="20"/>
        </w:rPr>
        <w:t xml:space="preserve"> s řízením </w:t>
      </w:r>
      <w:proofErr w:type="gramStart"/>
      <w:r w:rsidRPr="00966008">
        <w:rPr>
          <w:rFonts w:ascii="Arial" w:hAnsi="Arial" w:cs="Arial"/>
          <w:sz w:val="20"/>
          <w:szCs w:val="20"/>
        </w:rPr>
        <w:t>DALI</w:t>
      </w:r>
      <w:proofErr w:type="gramEnd"/>
      <w:r w:rsidRPr="00966008">
        <w:rPr>
          <w:rFonts w:ascii="Arial" w:hAnsi="Arial" w:cs="Arial"/>
          <w:sz w:val="20"/>
          <w:szCs w:val="20"/>
        </w:rPr>
        <w:t>. Ubytovací jednotky a ateliéry budou mít základní osvětlení s nepřímým osvětlením M8 - místní přisvětlení bude řešeno podle potřeby individuálně ze zásuvkového rozvodu.</w:t>
      </w:r>
    </w:p>
    <w:p w:rsidR="00966008" w:rsidRPr="00966008" w:rsidRDefault="00966008" w:rsidP="00966008">
      <w:pPr>
        <w:ind w:left="360"/>
        <w:jc w:val="both"/>
        <w:rPr>
          <w:rFonts w:ascii="Arial" w:hAnsi="Arial" w:cs="Arial"/>
          <w:sz w:val="20"/>
          <w:szCs w:val="20"/>
        </w:rPr>
      </w:pPr>
      <w:r w:rsidRPr="00966008">
        <w:rPr>
          <w:rFonts w:ascii="Arial" w:hAnsi="Arial" w:cs="Arial"/>
          <w:sz w:val="20"/>
          <w:szCs w:val="20"/>
        </w:rPr>
        <w:t>2)</w:t>
      </w:r>
      <w:r w:rsidRPr="00966008">
        <w:rPr>
          <w:rFonts w:ascii="Arial" w:hAnsi="Arial" w:cs="Arial"/>
          <w:sz w:val="20"/>
          <w:szCs w:val="20"/>
        </w:rPr>
        <w:tab/>
        <w:t>V kancelářích ve 3.NP bude osvětlení pracovišť řešeno stojanovými svítidly M13, základní osvětlení stropními svítidly M2alt.</w:t>
      </w:r>
    </w:p>
    <w:p w:rsidR="00966008" w:rsidRDefault="00966008" w:rsidP="00966008">
      <w:pPr>
        <w:ind w:left="360"/>
        <w:jc w:val="both"/>
        <w:rPr>
          <w:rFonts w:ascii="Arial" w:hAnsi="Arial" w:cs="Arial"/>
          <w:sz w:val="20"/>
          <w:szCs w:val="20"/>
        </w:rPr>
      </w:pPr>
      <w:r w:rsidRPr="00966008">
        <w:rPr>
          <w:rFonts w:ascii="Arial" w:hAnsi="Arial" w:cs="Arial"/>
          <w:sz w:val="20"/>
          <w:szCs w:val="20"/>
        </w:rPr>
        <w:t>3)</w:t>
      </w:r>
      <w:r w:rsidRPr="00966008">
        <w:rPr>
          <w:rFonts w:ascii="Arial" w:hAnsi="Arial" w:cs="Arial"/>
          <w:sz w:val="20"/>
          <w:szCs w:val="20"/>
        </w:rPr>
        <w:tab/>
        <w:t>Osvětlení kuchyňských pultů, skladů a příslušenství je řešeno svítidly M5.</w:t>
      </w:r>
      <w:bookmarkStart w:id="0" w:name="_GoBack"/>
      <w:bookmarkEnd w:id="0"/>
    </w:p>
    <w:p w:rsidR="00C031FB" w:rsidRPr="00CE05D9" w:rsidRDefault="00C031FB" w:rsidP="0070419D">
      <w:pPr>
        <w:ind w:left="360" w:firstLine="349"/>
        <w:jc w:val="both"/>
        <w:rPr>
          <w:rFonts w:ascii="Arial" w:hAnsi="Arial" w:cs="Arial"/>
          <w:sz w:val="20"/>
          <w:szCs w:val="20"/>
        </w:rPr>
      </w:pPr>
    </w:p>
    <w:p w:rsidR="001D3D3F" w:rsidRPr="00111A67" w:rsidRDefault="001D3D3F" w:rsidP="00111A67">
      <w:pPr>
        <w:spacing w:after="60"/>
        <w:ind w:left="357"/>
        <w:jc w:val="both"/>
        <w:rPr>
          <w:rFonts w:ascii="Arial" w:hAnsi="Arial" w:cs="Arial"/>
          <w:sz w:val="20"/>
          <w:szCs w:val="20"/>
          <w:u w:val="single"/>
        </w:rPr>
      </w:pPr>
      <w:r w:rsidRPr="00111A67">
        <w:rPr>
          <w:rFonts w:ascii="Arial" w:hAnsi="Arial" w:cs="Arial"/>
          <w:sz w:val="20"/>
          <w:szCs w:val="20"/>
          <w:u w:val="single"/>
        </w:rPr>
        <w:t>Nouzové osvětlení</w:t>
      </w:r>
    </w:p>
    <w:p w:rsidR="00CC437D" w:rsidRDefault="00CC437D" w:rsidP="00CC437D">
      <w:pPr>
        <w:ind w:left="360" w:firstLine="349"/>
        <w:jc w:val="both"/>
        <w:rPr>
          <w:rFonts w:ascii="Arial" w:hAnsi="Arial" w:cs="Arial"/>
          <w:sz w:val="20"/>
          <w:szCs w:val="20"/>
        </w:rPr>
      </w:pPr>
      <w:r w:rsidRPr="00CE05D9">
        <w:rPr>
          <w:rFonts w:ascii="Arial" w:hAnsi="Arial" w:cs="Arial"/>
          <w:sz w:val="20"/>
          <w:szCs w:val="20"/>
        </w:rPr>
        <w:t xml:space="preserve">K nouzovému osvětlení únikových cest a </w:t>
      </w:r>
      <w:proofErr w:type="spellStart"/>
      <w:r w:rsidRPr="00CE05D9">
        <w:rPr>
          <w:rFonts w:ascii="Arial" w:hAnsi="Arial" w:cs="Arial"/>
          <w:sz w:val="20"/>
          <w:szCs w:val="20"/>
        </w:rPr>
        <w:t>protipanickému</w:t>
      </w:r>
      <w:proofErr w:type="spellEnd"/>
      <w:r w:rsidRPr="00CE05D9">
        <w:rPr>
          <w:rFonts w:ascii="Arial" w:hAnsi="Arial" w:cs="Arial"/>
          <w:sz w:val="20"/>
          <w:szCs w:val="20"/>
        </w:rPr>
        <w:t xml:space="preserve"> osvětlení vybraných prostorů jsou navržená samostatná nouzová svítidla</w:t>
      </w:r>
      <w:r>
        <w:rPr>
          <w:rFonts w:ascii="Arial" w:hAnsi="Arial" w:cs="Arial"/>
          <w:sz w:val="20"/>
          <w:szCs w:val="20"/>
        </w:rPr>
        <w:t>, v předním traktu</w:t>
      </w:r>
      <w:r w:rsidRPr="00CE05D9">
        <w:rPr>
          <w:rFonts w:ascii="Arial" w:hAnsi="Arial" w:cs="Arial"/>
          <w:sz w:val="20"/>
          <w:szCs w:val="20"/>
        </w:rPr>
        <w:t xml:space="preserve"> </w:t>
      </w:r>
      <w:r>
        <w:rPr>
          <w:rFonts w:ascii="Arial" w:hAnsi="Arial" w:cs="Arial"/>
          <w:sz w:val="20"/>
          <w:szCs w:val="20"/>
        </w:rPr>
        <w:t xml:space="preserve">kombinovaná </w:t>
      </w:r>
      <w:r w:rsidRPr="00CE05D9">
        <w:rPr>
          <w:rFonts w:ascii="Arial" w:hAnsi="Arial" w:cs="Arial"/>
          <w:sz w:val="20"/>
          <w:szCs w:val="20"/>
        </w:rPr>
        <w:t>svítidl</w:t>
      </w:r>
      <w:r>
        <w:rPr>
          <w:rFonts w:ascii="Arial" w:hAnsi="Arial" w:cs="Arial"/>
          <w:sz w:val="20"/>
          <w:szCs w:val="20"/>
        </w:rPr>
        <w:t>a</w:t>
      </w:r>
      <w:r w:rsidRPr="00CE05D9">
        <w:rPr>
          <w:rFonts w:ascii="Arial" w:hAnsi="Arial" w:cs="Arial"/>
          <w:sz w:val="20"/>
          <w:szCs w:val="20"/>
        </w:rPr>
        <w:t xml:space="preserve"> ze soustavy provozního osvětlení. Pro vyznačení směru úniku budou použité značky s vnitřním osvětlením. Hladiny osvětlenosti nouzového osvětlení jsou navržené v souladu s</w:t>
      </w:r>
      <w:r>
        <w:rPr>
          <w:rFonts w:ascii="Arial" w:hAnsi="Arial" w:cs="Arial"/>
          <w:sz w:val="20"/>
          <w:szCs w:val="20"/>
        </w:rPr>
        <w:t> ČSN EN 1838</w:t>
      </w:r>
      <w:r w:rsidRPr="00CE05D9">
        <w:rPr>
          <w:rFonts w:ascii="Arial" w:hAnsi="Arial" w:cs="Arial"/>
          <w:sz w:val="20"/>
          <w:szCs w:val="20"/>
        </w:rPr>
        <w:t xml:space="preserve"> minimálně 1,0</w:t>
      </w:r>
      <w:r w:rsidR="00817D43">
        <w:rPr>
          <w:rFonts w:ascii="Arial" w:hAnsi="Arial" w:cs="Arial"/>
          <w:sz w:val="20"/>
          <w:szCs w:val="20"/>
        </w:rPr>
        <w:t> </w:t>
      </w:r>
      <w:r w:rsidRPr="00CE05D9">
        <w:rPr>
          <w:rFonts w:ascii="Arial" w:hAnsi="Arial" w:cs="Arial"/>
          <w:sz w:val="20"/>
          <w:szCs w:val="20"/>
        </w:rPr>
        <w:t>lx na ose únikových cest a 0,5</w:t>
      </w:r>
      <w:r w:rsidR="00817D43">
        <w:rPr>
          <w:rFonts w:ascii="Arial" w:hAnsi="Arial" w:cs="Arial"/>
          <w:sz w:val="20"/>
          <w:szCs w:val="20"/>
        </w:rPr>
        <w:t> </w:t>
      </w:r>
      <w:proofErr w:type="spellStart"/>
      <w:r w:rsidRPr="00CE05D9">
        <w:rPr>
          <w:rFonts w:ascii="Arial" w:hAnsi="Arial" w:cs="Arial"/>
          <w:sz w:val="20"/>
          <w:szCs w:val="20"/>
        </w:rPr>
        <w:t>lx</w:t>
      </w:r>
      <w:proofErr w:type="spellEnd"/>
      <w:r w:rsidRPr="00CE05D9">
        <w:rPr>
          <w:rFonts w:ascii="Arial" w:hAnsi="Arial" w:cs="Arial"/>
          <w:sz w:val="20"/>
          <w:szCs w:val="20"/>
        </w:rPr>
        <w:t xml:space="preserve"> v </w:t>
      </w:r>
      <w:proofErr w:type="spellStart"/>
      <w:r w:rsidRPr="00CE05D9">
        <w:rPr>
          <w:rFonts w:ascii="Arial" w:hAnsi="Arial" w:cs="Arial"/>
          <w:sz w:val="20"/>
          <w:szCs w:val="20"/>
        </w:rPr>
        <w:t>protipanických</w:t>
      </w:r>
      <w:proofErr w:type="spellEnd"/>
      <w:r w:rsidRPr="00CE05D9">
        <w:rPr>
          <w:rFonts w:ascii="Arial" w:hAnsi="Arial" w:cs="Arial"/>
          <w:sz w:val="20"/>
          <w:szCs w:val="20"/>
        </w:rPr>
        <w:t xml:space="preserve"> prostorech.</w:t>
      </w:r>
      <w:r>
        <w:rPr>
          <w:rFonts w:ascii="Arial" w:hAnsi="Arial" w:cs="Arial"/>
          <w:sz w:val="20"/>
          <w:szCs w:val="20"/>
        </w:rPr>
        <w:t xml:space="preserve"> </w:t>
      </w:r>
      <w:r w:rsidR="00111A67">
        <w:rPr>
          <w:rFonts w:ascii="Arial" w:hAnsi="Arial" w:cs="Arial"/>
          <w:sz w:val="20"/>
          <w:szCs w:val="20"/>
        </w:rPr>
        <w:t xml:space="preserve">Z hlediska </w:t>
      </w:r>
      <w:r>
        <w:rPr>
          <w:rFonts w:ascii="Arial" w:hAnsi="Arial" w:cs="Arial"/>
          <w:sz w:val="20"/>
          <w:szCs w:val="20"/>
        </w:rPr>
        <w:t xml:space="preserve">napájení </w:t>
      </w:r>
      <w:r w:rsidR="00111A67">
        <w:rPr>
          <w:rFonts w:ascii="Arial" w:hAnsi="Arial" w:cs="Arial"/>
          <w:sz w:val="20"/>
          <w:szCs w:val="20"/>
        </w:rPr>
        <w:t xml:space="preserve">nouzového osvětlení je objekt lázní rozdělený do dvou kategorií s odlišnými požadavky </w:t>
      </w:r>
      <w:r w:rsidR="00817D43">
        <w:rPr>
          <w:rFonts w:ascii="Arial" w:hAnsi="Arial" w:cs="Arial"/>
          <w:sz w:val="20"/>
          <w:szCs w:val="20"/>
        </w:rPr>
        <w:t xml:space="preserve">- </w:t>
      </w:r>
      <w:r w:rsidR="00111A67">
        <w:rPr>
          <w:rFonts w:ascii="Arial" w:hAnsi="Arial" w:cs="Arial"/>
          <w:sz w:val="20"/>
          <w:szCs w:val="20"/>
        </w:rPr>
        <w:t xml:space="preserve">na </w:t>
      </w:r>
      <w:r>
        <w:rPr>
          <w:rFonts w:ascii="Arial" w:hAnsi="Arial" w:cs="Arial"/>
          <w:sz w:val="20"/>
          <w:szCs w:val="20"/>
        </w:rPr>
        <w:t>veřejnosti přístupnou a nájemní část.</w:t>
      </w:r>
    </w:p>
    <w:p w:rsidR="00CC437D" w:rsidRPr="00CE05D9" w:rsidRDefault="00111A67" w:rsidP="00CC437D">
      <w:pPr>
        <w:ind w:left="360" w:firstLine="349"/>
        <w:jc w:val="both"/>
        <w:rPr>
          <w:rFonts w:ascii="Arial" w:hAnsi="Arial" w:cs="Arial"/>
          <w:sz w:val="20"/>
          <w:szCs w:val="20"/>
        </w:rPr>
      </w:pPr>
      <w:r>
        <w:rPr>
          <w:rFonts w:ascii="Arial" w:hAnsi="Arial" w:cs="Arial"/>
          <w:sz w:val="20"/>
          <w:szCs w:val="20"/>
        </w:rPr>
        <w:t xml:space="preserve">Veřejně přístupné části zahrnující víceúčelový sál, </w:t>
      </w:r>
      <w:proofErr w:type="spellStart"/>
      <w:r>
        <w:rPr>
          <w:rFonts w:ascii="Arial" w:hAnsi="Arial" w:cs="Arial"/>
          <w:sz w:val="20"/>
          <w:szCs w:val="20"/>
        </w:rPr>
        <w:t>Zanderův</w:t>
      </w:r>
      <w:proofErr w:type="spellEnd"/>
      <w:r>
        <w:rPr>
          <w:rFonts w:ascii="Arial" w:hAnsi="Arial" w:cs="Arial"/>
          <w:sz w:val="20"/>
          <w:szCs w:val="20"/>
        </w:rPr>
        <w:t xml:space="preserve"> sál</w:t>
      </w:r>
      <w:r w:rsidR="00817D43">
        <w:rPr>
          <w:rFonts w:ascii="Arial" w:hAnsi="Arial" w:cs="Arial"/>
          <w:sz w:val="20"/>
          <w:szCs w:val="20"/>
        </w:rPr>
        <w:t xml:space="preserve"> </w:t>
      </w:r>
      <w:r w:rsidR="00CC437D">
        <w:rPr>
          <w:rFonts w:ascii="Arial" w:hAnsi="Arial" w:cs="Arial"/>
          <w:sz w:val="20"/>
          <w:szCs w:val="20"/>
        </w:rPr>
        <w:t>a navazující únikové cesty</w:t>
      </w:r>
      <w:r w:rsidR="002910B1">
        <w:rPr>
          <w:rFonts w:ascii="Arial" w:hAnsi="Arial" w:cs="Arial"/>
          <w:sz w:val="20"/>
          <w:szCs w:val="20"/>
        </w:rPr>
        <w:t xml:space="preserve"> patří podle Č</w:t>
      </w:r>
      <w:r>
        <w:rPr>
          <w:rFonts w:ascii="Arial" w:hAnsi="Arial" w:cs="Arial"/>
          <w:sz w:val="20"/>
          <w:szCs w:val="20"/>
        </w:rPr>
        <w:t>S</w:t>
      </w:r>
      <w:r w:rsidR="002910B1">
        <w:rPr>
          <w:rFonts w:ascii="Arial" w:hAnsi="Arial" w:cs="Arial"/>
          <w:sz w:val="20"/>
          <w:szCs w:val="20"/>
        </w:rPr>
        <w:t>N</w:t>
      </w:r>
      <w:r>
        <w:rPr>
          <w:rFonts w:ascii="Arial" w:hAnsi="Arial" w:cs="Arial"/>
          <w:sz w:val="20"/>
          <w:szCs w:val="20"/>
        </w:rPr>
        <w:t xml:space="preserve"> 33 24 02 </w:t>
      </w:r>
      <w:proofErr w:type="spellStart"/>
      <w:r>
        <w:rPr>
          <w:rFonts w:ascii="Arial" w:hAnsi="Arial" w:cs="Arial"/>
          <w:sz w:val="20"/>
          <w:szCs w:val="20"/>
        </w:rPr>
        <w:t>ed</w:t>
      </w:r>
      <w:proofErr w:type="spellEnd"/>
      <w:r>
        <w:rPr>
          <w:rFonts w:ascii="Arial" w:hAnsi="Arial" w:cs="Arial"/>
          <w:sz w:val="20"/>
          <w:szCs w:val="20"/>
        </w:rPr>
        <w:t>. 2</w:t>
      </w:r>
      <w:r w:rsidRPr="00CE05D9">
        <w:rPr>
          <w:rFonts w:ascii="Arial" w:hAnsi="Arial" w:cs="Arial"/>
          <w:sz w:val="20"/>
          <w:szCs w:val="20"/>
        </w:rPr>
        <w:t xml:space="preserve"> do kategorie K2</w:t>
      </w:r>
      <w:r w:rsidR="00CC437D">
        <w:rPr>
          <w:rFonts w:ascii="Arial" w:hAnsi="Arial" w:cs="Arial"/>
          <w:sz w:val="20"/>
          <w:szCs w:val="20"/>
        </w:rPr>
        <w:t>. V souladu s tím budou p</w:t>
      </w:r>
      <w:r w:rsidR="00CC437D" w:rsidRPr="00CE05D9">
        <w:rPr>
          <w:rFonts w:ascii="Arial" w:hAnsi="Arial" w:cs="Arial"/>
          <w:sz w:val="20"/>
          <w:szCs w:val="20"/>
        </w:rPr>
        <w:t xml:space="preserve">ro napájení svítidel nouzového osvětlení </w:t>
      </w:r>
      <w:r w:rsidR="00CC437D">
        <w:rPr>
          <w:rFonts w:ascii="Arial" w:hAnsi="Arial" w:cs="Arial"/>
          <w:sz w:val="20"/>
          <w:szCs w:val="20"/>
        </w:rPr>
        <w:t xml:space="preserve">použité </w:t>
      </w:r>
      <w:r w:rsidR="00CC437D" w:rsidRPr="00CE05D9">
        <w:rPr>
          <w:rFonts w:ascii="Arial" w:hAnsi="Arial" w:cs="Arial"/>
          <w:sz w:val="20"/>
          <w:szCs w:val="20"/>
        </w:rPr>
        <w:t>dv</w:t>
      </w:r>
      <w:r w:rsidR="00CC437D">
        <w:rPr>
          <w:rFonts w:ascii="Arial" w:hAnsi="Arial" w:cs="Arial"/>
          <w:sz w:val="20"/>
          <w:szCs w:val="20"/>
        </w:rPr>
        <w:t>a nezávislé nouzové zdroje</w:t>
      </w:r>
      <w:r w:rsidR="00817D43">
        <w:rPr>
          <w:rFonts w:ascii="Arial" w:hAnsi="Arial" w:cs="Arial"/>
          <w:sz w:val="20"/>
          <w:szCs w:val="20"/>
        </w:rPr>
        <w:t>. P</w:t>
      </w:r>
      <w:r w:rsidR="00CC437D">
        <w:rPr>
          <w:rFonts w:ascii="Arial" w:hAnsi="Arial" w:cs="Arial"/>
          <w:sz w:val="20"/>
          <w:szCs w:val="20"/>
        </w:rPr>
        <w:t xml:space="preserve">ožadavek na použití svítidel se dvěma světelnými zdroji je vzhledem k malému výběru a nevhodnému vzhledu v současnosti vyráběných </w:t>
      </w:r>
      <w:proofErr w:type="spellStart"/>
      <w:r w:rsidR="00CC437D">
        <w:rPr>
          <w:rFonts w:ascii="Arial" w:hAnsi="Arial" w:cs="Arial"/>
          <w:sz w:val="20"/>
          <w:szCs w:val="20"/>
        </w:rPr>
        <w:t>dvouzdrojových</w:t>
      </w:r>
      <w:proofErr w:type="spellEnd"/>
      <w:r w:rsidR="00CC437D">
        <w:rPr>
          <w:rFonts w:ascii="Arial" w:hAnsi="Arial" w:cs="Arial"/>
          <w:sz w:val="20"/>
          <w:szCs w:val="20"/>
        </w:rPr>
        <w:t xml:space="preserve"> nouzových svítide</w:t>
      </w:r>
      <w:r w:rsidR="00817D43">
        <w:rPr>
          <w:rFonts w:ascii="Arial" w:hAnsi="Arial" w:cs="Arial"/>
          <w:sz w:val="20"/>
          <w:szCs w:val="20"/>
        </w:rPr>
        <w:t>l splněn zdvojením navržených nouzových svítidel nebo zálohovaných zdrojů u nouzových svítidel kombinovaných.</w:t>
      </w:r>
    </w:p>
    <w:p w:rsidR="00111A67" w:rsidRDefault="007310A8" w:rsidP="00CE05D9">
      <w:pPr>
        <w:ind w:left="360" w:firstLine="349"/>
        <w:jc w:val="both"/>
        <w:rPr>
          <w:rFonts w:ascii="Arial" w:hAnsi="Arial" w:cs="Arial"/>
          <w:sz w:val="20"/>
          <w:szCs w:val="20"/>
        </w:rPr>
      </w:pPr>
      <w:r>
        <w:rPr>
          <w:rFonts w:ascii="Arial" w:hAnsi="Arial" w:cs="Arial"/>
          <w:sz w:val="20"/>
          <w:szCs w:val="20"/>
        </w:rPr>
        <w:t xml:space="preserve">Napájecí zdroje nouzového osvětlení budou vybavené systémem automatického testování. Vzhledem ke skutečnosti, že budou pro nouzové osvětlení využívaná i repasovaná historická svítidla osazená </w:t>
      </w:r>
      <w:proofErr w:type="spellStart"/>
      <w:r>
        <w:rPr>
          <w:rFonts w:ascii="Arial" w:hAnsi="Arial" w:cs="Arial"/>
          <w:sz w:val="20"/>
          <w:szCs w:val="20"/>
        </w:rPr>
        <w:t>retrofitovými</w:t>
      </w:r>
      <w:proofErr w:type="spellEnd"/>
      <w:r>
        <w:rPr>
          <w:rFonts w:ascii="Arial" w:hAnsi="Arial" w:cs="Arial"/>
          <w:sz w:val="20"/>
          <w:szCs w:val="20"/>
        </w:rPr>
        <w:t xml:space="preserve"> LED zdroji, je u nouzových zdrojů požadováno střídavé napájecí napětí v běžném i nouzovém režimu.</w:t>
      </w:r>
    </w:p>
    <w:p w:rsidR="001D3D3F" w:rsidRDefault="001D3D3F" w:rsidP="00CE05D9">
      <w:pPr>
        <w:ind w:left="360" w:firstLine="349"/>
        <w:jc w:val="both"/>
        <w:rPr>
          <w:rFonts w:ascii="Arial" w:hAnsi="Arial" w:cs="Arial"/>
          <w:sz w:val="20"/>
          <w:szCs w:val="20"/>
        </w:rPr>
      </w:pPr>
    </w:p>
    <w:p w:rsidR="001D3D3F" w:rsidRPr="0089423D" w:rsidRDefault="001D3D3F" w:rsidP="003C73CC">
      <w:pPr>
        <w:jc w:val="both"/>
        <w:rPr>
          <w:rFonts w:ascii="Arial" w:hAnsi="Arial" w:cs="Arial"/>
          <w:sz w:val="20"/>
          <w:szCs w:val="20"/>
        </w:rPr>
      </w:pPr>
    </w:p>
    <w:p w:rsidR="001D3D3F" w:rsidRPr="0089423D" w:rsidRDefault="001D3D3F" w:rsidP="003C73CC">
      <w:pPr>
        <w:numPr>
          <w:ilvl w:val="0"/>
          <w:numId w:val="25"/>
        </w:numPr>
        <w:spacing w:after="120"/>
        <w:jc w:val="both"/>
        <w:rPr>
          <w:rFonts w:ascii="Arial" w:hAnsi="Arial" w:cs="Arial"/>
          <w:b/>
          <w:sz w:val="22"/>
          <w:szCs w:val="22"/>
        </w:rPr>
      </w:pPr>
      <w:r w:rsidRPr="0089423D">
        <w:rPr>
          <w:rFonts w:ascii="Arial" w:hAnsi="Arial" w:cs="Arial"/>
          <w:b/>
          <w:sz w:val="22"/>
          <w:szCs w:val="22"/>
        </w:rPr>
        <w:t>Druh prostředí a plán pravidelné údržby</w:t>
      </w:r>
    </w:p>
    <w:p w:rsidR="001D3D3F" w:rsidRPr="0089423D" w:rsidRDefault="001D3D3F" w:rsidP="003C73CC">
      <w:pPr>
        <w:spacing w:before="120"/>
        <w:ind w:left="360" w:firstLine="357"/>
        <w:jc w:val="both"/>
        <w:rPr>
          <w:rFonts w:ascii="Arial" w:hAnsi="Arial" w:cs="Arial"/>
          <w:sz w:val="20"/>
          <w:szCs w:val="20"/>
        </w:rPr>
      </w:pPr>
      <w:r w:rsidRPr="0089423D">
        <w:rPr>
          <w:rFonts w:ascii="Arial" w:hAnsi="Arial" w:cs="Arial"/>
          <w:sz w:val="20"/>
          <w:szCs w:val="20"/>
        </w:rPr>
        <w:t xml:space="preserve">Udržovací činitel </w:t>
      </w:r>
      <w:proofErr w:type="gramStart"/>
      <w:r w:rsidRPr="0089423D">
        <w:rPr>
          <w:rFonts w:ascii="Arial" w:hAnsi="Arial" w:cs="Arial"/>
          <w:sz w:val="20"/>
          <w:szCs w:val="20"/>
        </w:rPr>
        <w:t>byl</w:t>
      </w:r>
      <w:proofErr w:type="gramEnd"/>
      <w:r w:rsidRPr="0089423D">
        <w:rPr>
          <w:rFonts w:ascii="Arial" w:hAnsi="Arial" w:cs="Arial"/>
          <w:sz w:val="20"/>
          <w:szCs w:val="20"/>
        </w:rPr>
        <w:t xml:space="preserve"> na základě doporučení </w:t>
      </w:r>
      <w:proofErr w:type="gramStart"/>
      <w:r w:rsidRPr="0089423D">
        <w:rPr>
          <w:rFonts w:ascii="Arial" w:hAnsi="Arial" w:cs="Arial"/>
          <w:sz w:val="20"/>
          <w:szCs w:val="20"/>
        </w:rPr>
        <w:t>TNI</w:t>
      </w:r>
      <w:proofErr w:type="gramEnd"/>
      <w:r w:rsidRPr="0089423D">
        <w:rPr>
          <w:rFonts w:ascii="Arial" w:hAnsi="Arial" w:cs="Arial"/>
          <w:sz w:val="20"/>
          <w:szCs w:val="20"/>
        </w:rPr>
        <w:t xml:space="preserve"> 36 0451 odst. 4.10 a dle pokynů ČSN EN 12464-1 stanoven následovně:</w:t>
      </w:r>
    </w:p>
    <w:p w:rsidR="001D3D3F" w:rsidRPr="0089423D" w:rsidRDefault="001D3D3F" w:rsidP="003C73CC">
      <w:pPr>
        <w:numPr>
          <w:ilvl w:val="0"/>
          <w:numId w:val="23"/>
        </w:numPr>
        <w:jc w:val="both"/>
        <w:rPr>
          <w:rFonts w:ascii="Arial" w:hAnsi="Arial" w:cs="Arial"/>
          <w:sz w:val="20"/>
          <w:szCs w:val="20"/>
        </w:rPr>
      </w:pPr>
      <w:r w:rsidRPr="0089423D">
        <w:rPr>
          <w:rFonts w:ascii="Arial" w:hAnsi="Arial" w:cs="Arial"/>
          <w:sz w:val="20"/>
          <w:szCs w:val="20"/>
        </w:rPr>
        <w:t xml:space="preserve">prostředí je podle typu prostoru a jeho vlivu na znečištění povrchů prostoru hodnoceno jako čisté s intervalem čištění </w:t>
      </w:r>
      <w:r w:rsidR="0089423D">
        <w:rPr>
          <w:rFonts w:ascii="Arial" w:hAnsi="Arial" w:cs="Arial"/>
          <w:sz w:val="20"/>
          <w:szCs w:val="20"/>
        </w:rPr>
        <w:t>3 roky</w:t>
      </w:r>
      <w:r w:rsidRPr="0089423D">
        <w:rPr>
          <w:rFonts w:ascii="Arial" w:hAnsi="Arial" w:cs="Arial"/>
          <w:sz w:val="20"/>
          <w:szCs w:val="20"/>
        </w:rPr>
        <w:t>; udržovací činitel povrchů je 0,9</w:t>
      </w:r>
      <w:r w:rsidR="00285D8F">
        <w:rPr>
          <w:rFonts w:ascii="Arial" w:hAnsi="Arial" w:cs="Arial"/>
          <w:sz w:val="20"/>
          <w:szCs w:val="20"/>
        </w:rPr>
        <w:t>1</w:t>
      </w:r>
    </w:p>
    <w:p w:rsidR="001D3D3F" w:rsidRPr="0089423D" w:rsidRDefault="001D3D3F" w:rsidP="003C73CC">
      <w:pPr>
        <w:numPr>
          <w:ilvl w:val="0"/>
          <w:numId w:val="23"/>
        </w:numPr>
        <w:jc w:val="both"/>
        <w:rPr>
          <w:rFonts w:ascii="Arial" w:hAnsi="Arial" w:cs="Arial"/>
          <w:sz w:val="20"/>
          <w:szCs w:val="20"/>
        </w:rPr>
      </w:pPr>
      <w:r w:rsidRPr="0089423D">
        <w:rPr>
          <w:rFonts w:ascii="Arial" w:hAnsi="Arial" w:cs="Arial"/>
          <w:sz w:val="20"/>
          <w:szCs w:val="20"/>
        </w:rPr>
        <w:lastRenderedPageBreak/>
        <w:t xml:space="preserve">navrhovaná svítidla jsou v kategorii A, </w:t>
      </w:r>
      <w:r w:rsidR="0089423D">
        <w:rPr>
          <w:rFonts w:ascii="Arial" w:hAnsi="Arial" w:cs="Arial"/>
          <w:sz w:val="20"/>
          <w:szCs w:val="20"/>
        </w:rPr>
        <w:t xml:space="preserve">C, </w:t>
      </w:r>
      <w:r w:rsidRPr="0089423D">
        <w:rPr>
          <w:rFonts w:ascii="Arial" w:hAnsi="Arial" w:cs="Arial"/>
          <w:sz w:val="20"/>
          <w:szCs w:val="20"/>
        </w:rPr>
        <w:t>D, E a F s navrhovaným intervalem čištění svítidel 1x za rok; nejmenší udržovací činitel svítidel je 0,86</w:t>
      </w:r>
    </w:p>
    <w:p w:rsidR="001D3D3F" w:rsidRPr="0089423D" w:rsidRDefault="001D3D3F" w:rsidP="003C73CC">
      <w:pPr>
        <w:numPr>
          <w:ilvl w:val="0"/>
          <w:numId w:val="23"/>
        </w:numPr>
        <w:jc w:val="both"/>
        <w:rPr>
          <w:rFonts w:ascii="Arial" w:hAnsi="Arial" w:cs="Arial"/>
          <w:sz w:val="20"/>
          <w:szCs w:val="20"/>
        </w:rPr>
      </w:pPr>
      <w:r w:rsidRPr="0089423D">
        <w:rPr>
          <w:rFonts w:ascii="Arial" w:hAnsi="Arial" w:cs="Arial"/>
          <w:sz w:val="20"/>
          <w:szCs w:val="20"/>
        </w:rPr>
        <w:t>světelné zdroje LED jsou součástí svítidel – výrobci obvykle udávají pokles světelného toku, při životnosti světelných zdrojů 50000 hodin, na hodnotu 0,80. Za předpokladu životnosti svítidel 20 let (po které již budou morálně zastaralá) a předpokládaném provozu 2</w:t>
      </w:r>
      <w:r w:rsidR="00285D8F">
        <w:rPr>
          <w:rFonts w:ascii="Arial" w:hAnsi="Arial" w:cs="Arial"/>
          <w:sz w:val="20"/>
          <w:szCs w:val="20"/>
        </w:rPr>
        <w:t>5</w:t>
      </w:r>
      <w:r w:rsidRPr="0089423D">
        <w:rPr>
          <w:rFonts w:ascii="Arial" w:hAnsi="Arial" w:cs="Arial"/>
          <w:sz w:val="20"/>
          <w:szCs w:val="20"/>
        </w:rPr>
        <w:t>00 hodin/rok, se předpokládá, že pokles světelného toku nebude nižší než 0,94</w:t>
      </w:r>
    </w:p>
    <w:p w:rsidR="001D3D3F" w:rsidRPr="0089423D" w:rsidRDefault="001D3D3F" w:rsidP="003C73CC">
      <w:pPr>
        <w:numPr>
          <w:ilvl w:val="0"/>
          <w:numId w:val="23"/>
        </w:numPr>
        <w:jc w:val="both"/>
        <w:rPr>
          <w:rFonts w:ascii="Arial" w:hAnsi="Arial" w:cs="Arial"/>
          <w:sz w:val="20"/>
          <w:szCs w:val="20"/>
        </w:rPr>
      </w:pPr>
      <w:r w:rsidRPr="0089423D">
        <w:rPr>
          <w:rFonts w:ascii="Arial" w:hAnsi="Arial" w:cs="Arial"/>
          <w:sz w:val="20"/>
          <w:szCs w:val="20"/>
        </w:rPr>
        <w:t>činitel funkční spolehlivosti světelných zdrojů je 1,00, předpokládá se individuální výměna světelných zdrojů</w:t>
      </w:r>
    </w:p>
    <w:p w:rsidR="009D7E46" w:rsidRPr="0089423D" w:rsidRDefault="001D3D3F" w:rsidP="009D7E46">
      <w:pPr>
        <w:spacing w:before="120"/>
        <w:ind w:left="360" w:firstLine="357"/>
        <w:jc w:val="both"/>
        <w:rPr>
          <w:rFonts w:ascii="Arial" w:hAnsi="Arial" w:cs="Arial"/>
          <w:sz w:val="20"/>
          <w:szCs w:val="20"/>
        </w:rPr>
      </w:pPr>
      <w:r w:rsidRPr="0089423D">
        <w:rPr>
          <w:rFonts w:ascii="Arial" w:hAnsi="Arial" w:cs="Arial"/>
          <w:sz w:val="20"/>
          <w:szCs w:val="20"/>
        </w:rPr>
        <w:t>Celkový udržovací činitel pro výpočet umělého osvětlení je stanoven jako součin všech výše uvedených činitelů, výsledná hodnota vychází 0,</w:t>
      </w:r>
      <w:r w:rsidR="00285D8F">
        <w:rPr>
          <w:rFonts w:ascii="Arial" w:hAnsi="Arial" w:cs="Arial"/>
          <w:sz w:val="20"/>
          <w:szCs w:val="20"/>
        </w:rPr>
        <w:t>74</w:t>
      </w:r>
      <w:r w:rsidRPr="0089423D">
        <w:rPr>
          <w:rFonts w:ascii="Arial" w:hAnsi="Arial" w:cs="Arial"/>
          <w:sz w:val="20"/>
          <w:szCs w:val="20"/>
        </w:rPr>
        <w:t>.</w:t>
      </w:r>
      <w:r w:rsidR="009D7E46" w:rsidRPr="00D475B0">
        <w:rPr>
          <w:rFonts w:ascii="Arial" w:hAnsi="Arial" w:cs="Arial"/>
          <w:sz w:val="20"/>
          <w:szCs w:val="20"/>
        </w:rPr>
        <w:t xml:space="preserve"> </w:t>
      </w:r>
    </w:p>
    <w:p w:rsidR="009D7E46" w:rsidRPr="0089423D" w:rsidRDefault="009D7E46" w:rsidP="009D7E46">
      <w:pPr>
        <w:ind w:left="360"/>
        <w:jc w:val="both"/>
        <w:rPr>
          <w:rFonts w:ascii="Arial" w:hAnsi="Arial" w:cs="Arial"/>
          <w:sz w:val="20"/>
          <w:szCs w:val="20"/>
        </w:rPr>
      </w:pPr>
    </w:p>
    <w:p w:rsidR="009D7E46" w:rsidRPr="0089423D" w:rsidRDefault="009D7E46" w:rsidP="009D7E46">
      <w:pPr>
        <w:numPr>
          <w:ilvl w:val="0"/>
          <w:numId w:val="25"/>
        </w:numPr>
        <w:spacing w:after="120"/>
        <w:jc w:val="both"/>
        <w:rPr>
          <w:rFonts w:ascii="Arial" w:hAnsi="Arial" w:cs="Arial"/>
          <w:b/>
          <w:sz w:val="22"/>
          <w:szCs w:val="22"/>
        </w:rPr>
      </w:pPr>
      <w:r w:rsidRPr="0089423D">
        <w:rPr>
          <w:rFonts w:ascii="Arial" w:hAnsi="Arial" w:cs="Arial"/>
          <w:b/>
          <w:sz w:val="22"/>
          <w:szCs w:val="22"/>
        </w:rPr>
        <w:t>Systém řízení a ovládání</w:t>
      </w:r>
    </w:p>
    <w:p w:rsidR="009D7E46" w:rsidRPr="006779FA" w:rsidRDefault="009D7E46" w:rsidP="009D7E46">
      <w:pPr>
        <w:ind w:left="357" w:firstLine="357"/>
        <w:jc w:val="both"/>
        <w:rPr>
          <w:rFonts w:ascii="Arial" w:hAnsi="Arial" w:cs="Arial"/>
          <w:sz w:val="20"/>
          <w:szCs w:val="20"/>
        </w:rPr>
      </w:pPr>
      <w:r w:rsidRPr="006779FA">
        <w:rPr>
          <w:rFonts w:ascii="Arial" w:hAnsi="Arial" w:cs="Arial"/>
          <w:sz w:val="20"/>
          <w:szCs w:val="20"/>
        </w:rPr>
        <w:t>Z pohledu ovládání je možné řešené prostory rozdělit na prostory ovládané lokálně a prostory ovládané centrálně (např. komunikační prostory, sály, slavnostní osvětlení). Rozdělení je patrné z projektové dokumentace elektroinstalace.</w:t>
      </w:r>
    </w:p>
    <w:p w:rsidR="009D7E46" w:rsidRPr="006779FA" w:rsidRDefault="009D7E46" w:rsidP="009D7E46">
      <w:pPr>
        <w:ind w:left="357" w:firstLine="357"/>
        <w:jc w:val="both"/>
        <w:rPr>
          <w:rFonts w:ascii="Arial" w:hAnsi="Arial" w:cs="Arial"/>
          <w:sz w:val="20"/>
          <w:szCs w:val="20"/>
        </w:rPr>
      </w:pPr>
      <w:r w:rsidRPr="006779FA">
        <w:rPr>
          <w:rFonts w:ascii="Arial" w:hAnsi="Arial" w:cs="Arial"/>
          <w:sz w:val="20"/>
          <w:szCs w:val="20"/>
        </w:rPr>
        <w:t>V centrálně ovládaných částech se předpokládá připojení svítidel na inteligentní řídicí systém, který umožní vytvářet a jednoduše měnit světelné scény podle aktuálního využití prostoru. Pro ovládání svítidel budou na určených místech instalovány dotykové ovládací panely. Centrální ovládací panel bude umístěný ve vrátnici objektu, ve vybraných prostorech (</w:t>
      </w:r>
      <w:proofErr w:type="spellStart"/>
      <w:r w:rsidRPr="006779FA">
        <w:rPr>
          <w:rFonts w:ascii="Arial" w:hAnsi="Arial" w:cs="Arial"/>
          <w:sz w:val="20"/>
          <w:szCs w:val="20"/>
        </w:rPr>
        <w:t>Zanderův</w:t>
      </w:r>
      <w:proofErr w:type="spellEnd"/>
      <w:r w:rsidRPr="006779FA">
        <w:rPr>
          <w:rFonts w:ascii="Arial" w:hAnsi="Arial" w:cs="Arial"/>
          <w:sz w:val="20"/>
          <w:szCs w:val="20"/>
        </w:rPr>
        <w:t xml:space="preserve"> sál, malý sál,…) budou instalované panely podružné. Na vybraných místech (např. vstupy) budo</w:t>
      </w:r>
      <w:r>
        <w:rPr>
          <w:rFonts w:ascii="Arial" w:hAnsi="Arial" w:cs="Arial"/>
          <w:sz w:val="20"/>
          <w:szCs w:val="20"/>
        </w:rPr>
        <w:t>u navíc instalované běžné</w:t>
      </w:r>
      <w:r w:rsidRPr="006779FA">
        <w:rPr>
          <w:rFonts w:ascii="Arial" w:hAnsi="Arial" w:cs="Arial"/>
          <w:sz w:val="20"/>
          <w:szCs w:val="20"/>
        </w:rPr>
        <w:t xml:space="preserve"> tlačítk</w:t>
      </w:r>
      <w:r>
        <w:rPr>
          <w:rFonts w:ascii="Arial" w:hAnsi="Arial" w:cs="Arial"/>
          <w:sz w:val="20"/>
          <w:szCs w:val="20"/>
        </w:rPr>
        <w:t>ové ovladače</w:t>
      </w:r>
      <w:r w:rsidRPr="006779FA">
        <w:rPr>
          <w:rFonts w:ascii="Arial" w:hAnsi="Arial" w:cs="Arial"/>
          <w:sz w:val="20"/>
          <w:szCs w:val="20"/>
        </w:rPr>
        <w:t>, kter</w:t>
      </w:r>
      <w:r>
        <w:rPr>
          <w:rFonts w:ascii="Arial" w:hAnsi="Arial" w:cs="Arial"/>
          <w:sz w:val="20"/>
          <w:szCs w:val="20"/>
        </w:rPr>
        <w:t>é</w:t>
      </w:r>
      <w:r w:rsidRPr="006779FA">
        <w:rPr>
          <w:rFonts w:ascii="Arial" w:hAnsi="Arial" w:cs="Arial"/>
          <w:sz w:val="20"/>
          <w:szCs w:val="20"/>
        </w:rPr>
        <w:t xml:space="preserve"> umožní manuálně vyvolat přednastavenou světelnou scénu (např. úklidový režim).</w:t>
      </w:r>
      <w:r>
        <w:rPr>
          <w:rFonts w:ascii="Arial" w:hAnsi="Arial" w:cs="Arial"/>
          <w:sz w:val="20"/>
          <w:szCs w:val="20"/>
        </w:rPr>
        <w:t xml:space="preserve"> O</w:t>
      </w:r>
      <w:r w:rsidRPr="006A4BA1">
        <w:rPr>
          <w:rFonts w:ascii="Arial" w:hAnsi="Arial" w:cs="Arial"/>
          <w:sz w:val="20"/>
          <w:szCs w:val="20"/>
        </w:rPr>
        <w:t>světlení komunikačních prostorů</w:t>
      </w:r>
      <w:r>
        <w:rPr>
          <w:rFonts w:ascii="Arial" w:hAnsi="Arial" w:cs="Arial"/>
          <w:sz w:val="20"/>
          <w:szCs w:val="20"/>
        </w:rPr>
        <w:t xml:space="preserve"> a zázemí návštěvníků bude ovládané </w:t>
      </w:r>
      <w:r w:rsidRPr="006A4BA1">
        <w:rPr>
          <w:rFonts w:ascii="Arial" w:hAnsi="Arial" w:cs="Arial"/>
          <w:sz w:val="20"/>
          <w:szCs w:val="20"/>
        </w:rPr>
        <w:t>na základě informací z</w:t>
      </w:r>
      <w:r>
        <w:rPr>
          <w:rFonts w:ascii="Arial" w:hAnsi="Arial" w:cs="Arial"/>
          <w:sz w:val="20"/>
          <w:szCs w:val="20"/>
        </w:rPr>
        <w:t xml:space="preserve"> pohybových </w:t>
      </w:r>
      <w:r w:rsidRPr="006A4BA1">
        <w:rPr>
          <w:rFonts w:ascii="Arial" w:hAnsi="Arial" w:cs="Arial"/>
          <w:sz w:val="20"/>
          <w:szCs w:val="20"/>
        </w:rPr>
        <w:t>čid</w:t>
      </w:r>
      <w:r>
        <w:rPr>
          <w:rFonts w:ascii="Arial" w:hAnsi="Arial" w:cs="Arial"/>
          <w:sz w:val="20"/>
          <w:szCs w:val="20"/>
        </w:rPr>
        <w:t>e</w:t>
      </w:r>
      <w:r w:rsidRPr="006A4BA1">
        <w:rPr>
          <w:rFonts w:ascii="Arial" w:hAnsi="Arial" w:cs="Arial"/>
          <w:sz w:val="20"/>
          <w:szCs w:val="20"/>
        </w:rPr>
        <w:t>l</w:t>
      </w:r>
      <w:r>
        <w:rPr>
          <w:rFonts w:ascii="Arial" w:hAnsi="Arial" w:cs="Arial"/>
          <w:sz w:val="20"/>
          <w:szCs w:val="20"/>
        </w:rPr>
        <w:t>.</w:t>
      </w:r>
      <w:r w:rsidRPr="006A4BA1">
        <w:rPr>
          <w:rFonts w:ascii="Arial" w:hAnsi="Arial" w:cs="Arial"/>
          <w:sz w:val="20"/>
          <w:szCs w:val="20"/>
        </w:rPr>
        <w:t xml:space="preserve"> </w:t>
      </w:r>
      <w:r>
        <w:rPr>
          <w:rFonts w:ascii="Arial" w:hAnsi="Arial" w:cs="Arial"/>
          <w:sz w:val="20"/>
          <w:szCs w:val="20"/>
        </w:rPr>
        <w:t>Řídicí systém bude umožňovat zablokování tlačítkových ovladačů a pohybových čidel v průběhu pořádání slavnostních akcí.</w:t>
      </w:r>
    </w:p>
    <w:p w:rsidR="009D7E46" w:rsidRPr="006779FA" w:rsidRDefault="009D7E46" w:rsidP="009D7E46">
      <w:pPr>
        <w:ind w:left="357" w:firstLine="357"/>
        <w:jc w:val="both"/>
        <w:rPr>
          <w:rFonts w:ascii="Arial" w:hAnsi="Arial" w:cs="Arial"/>
          <w:sz w:val="20"/>
          <w:szCs w:val="20"/>
        </w:rPr>
      </w:pPr>
      <w:r w:rsidRPr="006779FA">
        <w:rPr>
          <w:rFonts w:ascii="Arial" w:hAnsi="Arial" w:cs="Arial"/>
          <w:sz w:val="20"/>
          <w:szCs w:val="20"/>
        </w:rPr>
        <w:t xml:space="preserve">Použití řídicího systému přinese uživateli vysokou variabilitu a komfort v ovládání svítidel. Užitečné může být také zobrazení zpětné informace o úrovni svícení nastavených světelných scén a aktuálním stavu jednotlivých světelných okruhů. Řídicí systém osvětlení se skládá ze </w:t>
      </w:r>
      <w:proofErr w:type="spellStart"/>
      <w:r w:rsidRPr="006779FA">
        <w:rPr>
          <w:rFonts w:ascii="Arial" w:hAnsi="Arial" w:cs="Arial"/>
          <w:sz w:val="20"/>
          <w:szCs w:val="20"/>
        </w:rPr>
        <w:t>stmívacích</w:t>
      </w:r>
      <w:proofErr w:type="spellEnd"/>
      <w:r w:rsidRPr="006779FA">
        <w:rPr>
          <w:rFonts w:ascii="Arial" w:hAnsi="Arial" w:cs="Arial"/>
          <w:sz w:val="20"/>
          <w:szCs w:val="20"/>
        </w:rPr>
        <w:t>, spínacích a řídicích jednotek, které jsou umístěny v silových rozvaděčích napájejících jednotlivé světelné okruhy. V ovládacím panelu jsou naprogramovány všechny světelné scény a případně nastavené časy jejich automatického vyvolání. Součástí ovládacího panelu je i jednoduchý editor, přístupný přes heslo, s jehož pomocí lze nastavení světelných scén a čas jejich vyvolání upravovat.</w:t>
      </w:r>
    </w:p>
    <w:p w:rsidR="009D7E46" w:rsidRDefault="009D7E46" w:rsidP="009D7E46">
      <w:pPr>
        <w:ind w:left="357" w:firstLine="357"/>
        <w:jc w:val="both"/>
        <w:rPr>
          <w:rFonts w:ascii="Arial" w:hAnsi="Arial" w:cs="Arial"/>
          <w:sz w:val="20"/>
          <w:szCs w:val="20"/>
        </w:rPr>
      </w:pPr>
      <w:r w:rsidRPr="006779FA">
        <w:rPr>
          <w:rFonts w:ascii="Arial" w:hAnsi="Arial" w:cs="Arial"/>
          <w:sz w:val="20"/>
          <w:szCs w:val="20"/>
        </w:rPr>
        <w:t>Centrálně ovládaná svítidla budou spínaná nebo re</w:t>
      </w:r>
      <w:r>
        <w:rPr>
          <w:rFonts w:ascii="Arial" w:hAnsi="Arial" w:cs="Arial"/>
          <w:sz w:val="20"/>
          <w:szCs w:val="20"/>
        </w:rPr>
        <w:t xml:space="preserve">gulovatelná pomocí sběrnice DALI. </w:t>
      </w:r>
      <w:r w:rsidRPr="006779FA">
        <w:rPr>
          <w:rFonts w:ascii="Arial" w:hAnsi="Arial" w:cs="Arial"/>
          <w:sz w:val="20"/>
          <w:szCs w:val="20"/>
        </w:rPr>
        <w:t>Na jedné sběrnici může být maximální počet 64 svítidel (adres).</w:t>
      </w:r>
    </w:p>
    <w:p w:rsidR="009D7E46" w:rsidRPr="003C73CC" w:rsidRDefault="009D7E46" w:rsidP="009D7E46">
      <w:pPr>
        <w:ind w:left="360"/>
        <w:jc w:val="both"/>
        <w:rPr>
          <w:rFonts w:ascii="Arial" w:hAnsi="Arial" w:cs="Arial"/>
          <w:sz w:val="20"/>
          <w:szCs w:val="20"/>
        </w:rPr>
      </w:pPr>
    </w:p>
    <w:p w:rsidR="009D7E46" w:rsidRDefault="009D7E46" w:rsidP="009D7E46">
      <w:pPr>
        <w:numPr>
          <w:ilvl w:val="0"/>
          <w:numId w:val="25"/>
        </w:numPr>
        <w:spacing w:after="120"/>
        <w:jc w:val="both"/>
        <w:rPr>
          <w:rFonts w:ascii="Arial" w:hAnsi="Arial" w:cs="Arial"/>
          <w:b/>
          <w:sz w:val="22"/>
          <w:szCs w:val="22"/>
        </w:rPr>
      </w:pPr>
      <w:r w:rsidRPr="00D117E2">
        <w:rPr>
          <w:rFonts w:ascii="Arial" w:hAnsi="Arial" w:cs="Arial"/>
          <w:b/>
          <w:sz w:val="22"/>
          <w:szCs w:val="22"/>
        </w:rPr>
        <w:t>Specifikace rizik a možných příčin navýšení rozsahu prací při realizaci stavby</w:t>
      </w:r>
    </w:p>
    <w:p w:rsidR="009D7E46" w:rsidRPr="00D117E2" w:rsidRDefault="009D7E46" w:rsidP="009D7E46">
      <w:pPr>
        <w:spacing w:after="60"/>
        <w:ind w:firstLine="352"/>
        <w:jc w:val="both"/>
        <w:rPr>
          <w:rFonts w:ascii="Arial" w:hAnsi="Arial" w:cs="Arial"/>
          <w:i/>
          <w:sz w:val="20"/>
          <w:szCs w:val="20"/>
        </w:rPr>
      </w:pPr>
      <w:r w:rsidRPr="00D117E2">
        <w:rPr>
          <w:rFonts w:ascii="Arial" w:hAnsi="Arial" w:cs="Arial"/>
          <w:i/>
          <w:sz w:val="20"/>
          <w:szCs w:val="20"/>
        </w:rPr>
        <w:t>A. Rizika stavebně-technická</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Za nejrozsáhlejší riziko z hlediska stavebně-technického a stavebně-technologického považujeme zajištění stavební jámy a provedení podbetonování stávajících základů v místech prohlubování základové spáry a to zejména ve vztahu </w:t>
      </w:r>
      <w:r>
        <w:rPr>
          <w:rFonts w:ascii="Arial" w:hAnsi="Arial" w:cs="Arial"/>
          <w:sz w:val="20"/>
          <w:szCs w:val="20"/>
        </w:rPr>
        <w:t>k</w:t>
      </w:r>
      <w:r w:rsidRPr="00D117E2">
        <w:rPr>
          <w:rFonts w:ascii="Arial" w:hAnsi="Arial" w:cs="Arial"/>
          <w:sz w:val="20"/>
          <w:szCs w:val="20"/>
        </w:rPr>
        <w:t xml:space="preserve"> blízkému sousedství říčky Teplé, jejíž hladina je výše než uvažované prohloubení základů v půdorysu kolem stávajícího nádvoří a provedení podzemního spojovacího koridoru směrem k objektu Rašelinového pavilonu.</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Riziku event. následných poruch na stávajících konstrukcích (trhliny ve stěnách vlivem dotvarování nových podzemních betonových konstrukcí a tím dosedání této části budovy) a stejně tak i riziku případných víceprací je možno zabránit pouze volbou vysoce erudované a na tyto stavební práce specializované stavebně-realizační firmy a volbou zkušeného a důsledného stavebního dozoru investora </w:t>
      </w:r>
      <w:r>
        <w:rPr>
          <w:rFonts w:ascii="Arial" w:hAnsi="Arial" w:cs="Arial"/>
          <w:sz w:val="20"/>
          <w:szCs w:val="20"/>
        </w:rPr>
        <w:t>(</w:t>
      </w:r>
      <w:r w:rsidRPr="00D117E2">
        <w:rPr>
          <w:rFonts w:ascii="Arial" w:hAnsi="Arial" w:cs="Arial"/>
          <w:sz w:val="20"/>
          <w:szCs w:val="20"/>
        </w:rPr>
        <w:t>a samozřejmě i smluvními podmínkami</w:t>
      </w:r>
      <w:r>
        <w:rPr>
          <w:rFonts w:ascii="Arial" w:hAnsi="Arial" w:cs="Arial"/>
          <w:sz w:val="20"/>
          <w:szCs w:val="20"/>
        </w:rPr>
        <w:t>)</w:t>
      </w:r>
      <w:r w:rsidRPr="00D117E2">
        <w:rPr>
          <w:rFonts w:ascii="Arial" w:hAnsi="Arial" w:cs="Arial"/>
          <w:sz w:val="20"/>
          <w:szCs w:val="20"/>
        </w:rPr>
        <w:t xml:space="preserve">. Zde považuji za nezbytné opětovně zdůraznit, že bude-li jediným investorovým kritériem při výběru stavebně-realizační firmy výše nabídkové ceny, mohlo by to znamenat ohrožení kvality provedení výše uvedených prací. </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Potenciální rizika představují samozřejmě </w:t>
      </w:r>
      <w:r>
        <w:rPr>
          <w:rFonts w:ascii="Arial" w:hAnsi="Arial" w:cs="Arial"/>
          <w:sz w:val="20"/>
          <w:szCs w:val="20"/>
        </w:rPr>
        <w:t>(</w:t>
      </w:r>
      <w:r w:rsidRPr="00D117E2">
        <w:rPr>
          <w:rFonts w:ascii="Arial" w:hAnsi="Arial" w:cs="Arial"/>
          <w:sz w:val="20"/>
          <w:szCs w:val="20"/>
        </w:rPr>
        <w:t>jako na každé rekonstrukci</w:t>
      </w:r>
      <w:r>
        <w:rPr>
          <w:rFonts w:ascii="Arial" w:hAnsi="Arial" w:cs="Arial"/>
          <w:sz w:val="20"/>
          <w:szCs w:val="20"/>
        </w:rPr>
        <w:t>)</w:t>
      </w:r>
      <w:r w:rsidRPr="00D117E2">
        <w:rPr>
          <w:rFonts w:ascii="Arial" w:hAnsi="Arial" w:cs="Arial"/>
          <w:sz w:val="20"/>
          <w:szCs w:val="20"/>
        </w:rPr>
        <w:t xml:space="preserve"> i možné skryté jevy uvnitř existujících konstrukcí. Vzhledem k tomu, že se nezachoval statický výpočet z původního projektu z r. 1893 </w:t>
      </w:r>
      <w:r>
        <w:rPr>
          <w:rFonts w:ascii="Arial" w:hAnsi="Arial" w:cs="Arial"/>
          <w:sz w:val="20"/>
          <w:szCs w:val="20"/>
        </w:rPr>
        <w:t>(</w:t>
      </w:r>
      <w:r w:rsidRPr="00D117E2">
        <w:rPr>
          <w:rFonts w:ascii="Arial" w:hAnsi="Arial" w:cs="Arial"/>
          <w:sz w:val="20"/>
          <w:szCs w:val="20"/>
        </w:rPr>
        <w:t>byl-li vůbec nějaký…</w:t>
      </w:r>
      <w:r>
        <w:rPr>
          <w:rFonts w:ascii="Arial" w:hAnsi="Arial" w:cs="Arial"/>
          <w:sz w:val="20"/>
          <w:szCs w:val="20"/>
        </w:rPr>
        <w:t>)</w:t>
      </w:r>
      <w:r w:rsidRPr="00D117E2">
        <w:rPr>
          <w:rFonts w:ascii="Arial" w:hAnsi="Arial" w:cs="Arial"/>
          <w:sz w:val="20"/>
          <w:szCs w:val="20"/>
        </w:rPr>
        <w:t xml:space="preserve">, nelze vyloučit přítomnost např. skrytých ocelových nosných prvků ve stěnách a ve stropech, které mohou lokálně zkomplikovat navrhované </w:t>
      </w:r>
      <w:proofErr w:type="spellStart"/>
      <w:r w:rsidRPr="00D117E2">
        <w:rPr>
          <w:rFonts w:ascii="Arial" w:hAnsi="Arial" w:cs="Arial"/>
          <w:sz w:val="20"/>
          <w:szCs w:val="20"/>
        </w:rPr>
        <w:t>vybourávky</w:t>
      </w:r>
      <w:proofErr w:type="spellEnd"/>
      <w:r w:rsidRPr="00D117E2">
        <w:rPr>
          <w:rFonts w:ascii="Arial" w:hAnsi="Arial" w:cs="Arial"/>
          <w:sz w:val="20"/>
          <w:szCs w:val="20"/>
        </w:rPr>
        <w:t xml:space="preserve"> otvorů, nebo naopak lokálně snížená únosnost původního nosného zdiva vlivem pozdějších stavebních úprav, či vlivem působení externích jevů </w:t>
      </w:r>
      <w:r>
        <w:rPr>
          <w:rFonts w:ascii="Arial" w:hAnsi="Arial" w:cs="Arial"/>
          <w:sz w:val="20"/>
          <w:szCs w:val="20"/>
        </w:rPr>
        <w:t>(</w:t>
      </w:r>
      <w:r w:rsidRPr="00D117E2">
        <w:rPr>
          <w:rFonts w:ascii="Arial" w:hAnsi="Arial" w:cs="Arial"/>
          <w:sz w:val="20"/>
          <w:szCs w:val="20"/>
        </w:rPr>
        <w:t>průsak spodní vody, vlhkost následkem havárie vodovodu v r. 2009, déšť, mráz</w:t>
      </w:r>
      <w:r>
        <w:rPr>
          <w:rFonts w:ascii="Arial" w:hAnsi="Arial" w:cs="Arial"/>
          <w:sz w:val="20"/>
          <w:szCs w:val="20"/>
        </w:rPr>
        <w:t>,</w:t>
      </w:r>
      <w:r w:rsidRPr="00D117E2">
        <w:rPr>
          <w:rFonts w:ascii="Arial" w:hAnsi="Arial" w:cs="Arial"/>
          <w:sz w:val="20"/>
          <w:szCs w:val="20"/>
        </w:rPr>
        <w:t xml:space="preserve">…). V této souvislosti nutno připomenout, že stavebními úpravami v historických koupelnách v minulých desetiletích došlo mnohde k zazdění </w:t>
      </w:r>
      <w:r w:rsidRPr="00D117E2">
        <w:rPr>
          <w:rFonts w:ascii="Arial" w:hAnsi="Arial" w:cs="Arial"/>
          <w:sz w:val="20"/>
          <w:szCs w:val="20"/>
        </w:rPr>
        <w:lastRenderedPageBreak/>
        <w:t xml:space="preserve">celého technologického mezipatra </w:t>
      </w:r>
      <w:r>
        <w:rPr>
          <w:rFonts w:ascii="Arial" w:hAnsi="Arial" w:cs="Arial"/>
          <w:sz w:val="20"/>
          <w:szCs w:val="20"/>
        </w:rPr>
        <w:t>(</w:t>
      </w:r>
      <w:proofErr w:type="spellStart"/>
      <w:r w:rsidRPr="00D117E2">
        <w:rPr>
          <w:rFonts w:ascii="Arial" w:hAnsi="Arial" w:cs="Arial"/>
          <w:sz w:val="20"/>
          <w:szCs w:val="20"/>
        </w:rPr>
        <w:t>podpodlahového</w:t>
      </w:r>
      <w:proofErr w:type="spellEnd"/>
      <w:r w:rsidRPr="00D117E2">
        <w:rPr>
          <w:rFonts w:ascii="Arial" w:hAnsi="Arial" w:cs="Arial"/>
          <w:sz w:val="20"/>
          <w:szCs w:val="20"/>
        </w:rPr>
        <w:t xml:space="preserve"> prostoru pod koupelnami</w:t>
      </w:r>
      <w:r>
        <w:rPr>
          <w:rFonts w:ascii="Arial" w:hAnsi="Arial" w:cs="Arial"/>
          <w:sz w:val="20"/>
          <w:szCs w:val="20"/>
        </w:rPr>
        <w:t>)</w:t>
      </w:r>
      <w:r w:rsidRPr="00D117E2">
        <w:rPr>
          <w:rFonts w:ascii="Arial" w:hAnsi="Arial" w:cs="Arial"/>
          <w:sz w:val="20"/>
          <w:szCs w:val="20"/>
        </w:rPr>
        <w:t>, kde po jeho odkrytí můžeme zjistit skutečnosti odlišné od původní projektové dokumentace – plánů z r. 1893.</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 Se zmíněnou havárií vodovodu v r. 2009, jejímž důsledkem bylo protečení množství vody objektem od krovu až do suterénu, může souviset i občasný výskyt napadení dřevěných konstrukcí dřevokazným hmyzem či houbou </w:t>
      </w:r>
      <w:r>
        <w:rPr>
          <w:rFonts w:ascii="Arial" w:hAnsi="Arial" w:cs="Arial"/>
          <w:sz w:val="20"/>
          <w:szCs w:val="20"/>
        </w:rPr>
        <w:t>(</w:t>
      </w:r>
      <w:r w:rsidRPr="00D117E2">
        <w:rPr>
          <w:rFonts w:ascii="Arial" w:hAnsi="Arial" w:cs="Arial"/>
          <w:sz w:val="20"/>
          <w:szCs w:val="20"/>
        </w:rPr>
        <w:t>průzkum tohoto jevu a následné odstraňování jeho projevů v současnosti probíhá</w:t>
      </w:r>
      <w:r>
        <w:rPr>
          <w:rFonts w:ascii="Arial" w:hAnsi="Arial" w:cs="Arial"/>
          <w:sz w:val="20"/>
          <w:szCs w:val="20"/>
        </w:rPr>
        <w:t>)</w:t>
      </w:r>
      <w:r w:rsidRPr="00D117E2">
        <w:rPr>
          <w:rFonts w:ascii="Arial" w:hAnsi="Arial" w:cs="Arial"/>
          <w:sz w:val="20"/>
          <w:szCs w:val="20"/>
        </w:rPr>
        <w:t>.</w:t>
      </w:r>
    </w:p>
    <w:p w:rsidR="009A232B" w:rsidRDefault="009D7E46" w:rsidP="009A232B">
      <w:pPr>
        <w:ind w:left="360" w:firstLine="349"/>
        <w:jc w:val="both"/>
        <w:rPr>
          <w:rFonts w:ascii="Arial" w:hAnsi="Arial" w:cs="Arial"/>
          <w:sz w:val="20"/>
          <w:szCs w:val="20"/>
        </w:rPr>
      </w:pPr>
      <w:r w:rsidRPr="00D117E2">
        <w:rPr>
          <w:rFonts w:ascii="Arial" w:hAnsi="Arial" w:cs="Arial"/>
          <w:sz w:val="20"/>
          <w:szCs w:val="20"/>
        </w:rPr>
        <w:t xml:space="preserve">Rizikem při bourání konstrukcí je i to, že vlivem otřesů a chvění a i vlivem odlehčení stropní </w:t>
      </w:r>
      <w:proofErr w:type="spellStart"/>
      <w:r w:rsidRPr="00D117E2">
        <w:rPr>
          <w:rFonts w:ascii="Arial" w:hAnsi="Arial" w:cs="Arial"/>
          <w:sz w:val="20"/>
          <w:szCs w:val="20"/>
        </w:rPr>
        <w:t>kce</w:t>
      </w:r>
      <w:proofErr w:type="spellEnd"/>
      <w:r w:rsidRPr="00D117E2">
        <w:rPr>
          <w:rFonts w:ascii="Arial" w:hAnsi="Arial" w:cs="Arial"/>
          <w:sz w:val="20"/>
          <w:szCs w:val="20"/>
        </w:rPr>
        <w:t xml:space="preserve"> po odtěžení podlahových škvárových násypů mohou odpadávat i další </w:t>
      </w:r>
      <w:proofErr w:type="spellStart"/>
      <w:r w:rsidRPr="00D117E2">
        <w:rPr>
          <w:rFonts w:ascii="Arial" w:hAnsi="Arial" w:cs="Arial"/>
          <w:sz w:val="20"/>
          <w:szCs w:val="20"/>
        </w:rPr>
        <w:t>sádroštukové</w:t>
      </w:r>
      <w:proofErr w:type="spellEnd"/>
      <w:r w:rsidRPr="00D117E2">
        <w:rPr>
          <w:rFonts w:ascii="Arial" w:hAnsi="Arial" w:cs="Arial"/>
          <w:sz w:val="20"/>
          <w:szCs w:val="20"/>
        </w:rPr>
        <w:t xml:space="preserve"> prvky na stropech a na podhledech. Aby toto riziko bylo minimalizováno, je třeba při bourání používat prioritně nástroje řezací, nikoli úderné či příklepové. Technologický postup náhrady podlahových násypů, který je nutno dodržet, je popsán v technické zprávě RDS objektu SO 101. </w:t>
      </w:r>
    </w:p>
    <w:p w:rsidR="009A232B" w:rsidRDefault="009A232B" w:rsidP="009A232B">
      <w:pPr>
        <w:ind w:left="360" w:firstLine="349"/>
        <w:jc w:val="both"/>
        <w:rPr>
          <w:rFonts w:ascii="Arial" w:hAnsi="Arial" w:cs="Arial"/>
          <w:sz w:val="20"/>
          <w:szCs w:val="20"/>
        </w:rPr>
      </w:pPr>
    </w:p>
    <w:p w:rsidR="009D7E46" w:rsidRPr="00D117E2" w:rsidRDefault="009D7E46" w:rsidP="009A232B">
      <w:pPr>
        <w:ind w:left="360" w:firstLine="349"/>
        <w:jc w:val="both"/>
        <w:rPr>
          <w:rFonts w:ascii="Arial" w:hAnsi="Arial" w:cs="Arial"/>
          <w:sz w:val="20"/>
          <w:szCs w:val="20"/>
        </w:rPr>
      </w:pPr>
      <w:r w:rsidRPr="00D117E2">
        <w:rPr>
          <w:rFonts w:ascii="Arial" w:hAnsi="Arial" w:cs="Arial"/>
          <w:sz w:val="20"/>
          <w:szCs w:val="20"/>
        </w:rPr>
        <w:t xml:space="preserve"> Tato rizika jsou námi v projektové dokumentaci </w:t>
      </w:r>
      <w:proofErr w:type="spellStart"/>
      <w:r w:rsidRPr="00D117E2">
        <w:rPr>
          <w:rFonts w:ascii="Arial" w:hAnsi="Arial" w:cs="Arial"/>
          <w:sz w:val="20"/>
          <w:szCs w:val="20"/>
        </w:rPr>
        <w:t>preliminována</w:t>
      </w:r>
      <w:proofErr w:type="spellEnd"/>
      <w:r w:rsidRPr="00D117E2">
        <w:rPr>
          <w:rFonts w:ascii="Arial" w:hAnsi="Arial" w:cs="Arial"/>
          <w:sz w:val="20"/>
          <w:szCs w:val="20"/>
        </w:rPr>
        <w:t xml:space="preserve"> nasazením přiměřeně vyšších jednotkových cen stavebních prací na rizikových částech stavby a zahrnutím globální rozpočtové rezervy do SHR.</w:t>
      </w:r>
    </w:p>
    <w:p w:rsidR="009D7E46" w:rsidRPr="00D117E2" w:rsidRDefault="009D7E46" w:rsidP="009D7E46">
      <w:pPr>
        <w:spacing w:before="120" w:after="60"/>
        <w:ind w:firstLine="352"/>
        <w:jc w:val="both"/>
        <w:rPr>
          <w:rFonts w:ascii="Arial" w:hAnsi="Arial" w:cs="Arial"/>
          <w:i/>
          <w:sz w:val="20"/>
          <w:szCs w:val="20"/>
        </w:rPr>
      </w:pPr>
      <w:r w:rsidRPr="00D117E2">
        <w:rPr>
          <w:rFonts w:ascii="Arial" w:hAnsi="Arial" w:cs="Arial"/>
          <w:i/>
          <w:sz w:val="20"/>
          <w:szCs w:val="20"/>
        </w:rPr>
        <w:t>B. Rizika termínová, legislativní a veřejnoprávní</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Rizikem z hlediska termínového je požadavek památkářů na provedení archeologického průzkumu při výkopových prac</w:t>
      </w:r>
      <w:r w:rsidR="00B409E2">
        <w:rPr>
          <w:rFonts w:ascii="Arial" w:hAnsi="Arial" w:cs="Arial"/>
          <w:sz w:val="20"/>
          <w:szCs w:val="20"/>
        </w:rPr>
        <w:t>í</w:t>
      </w:r>
      <w:r w:rsidRPr="00D117E2">
        <w:rPr>
          <w:rFonts w:ascii="Arial" w:hAnsi="Arial" w:cs="Arial"/>
          <w:sz w:val="20"/>
          <w:szCs w:val="20"/>
        </w:rPr>
        <w:t>ch. Vzhledem k tomu, že budova CLKV byla postavena na místě zasypaných pivovarských sklepů, nelze předem spolehlivě odhadnout rozsáhlost a tudíž ani délku trvání tohoto průzkumu a tím tedy event. ani s tím související posun v harmonogramu stavebních prací.</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Stejně tak dle platné legislativy mají orgány OPP </w:t>
      </w:r>
      <w:r>
        <w:rPr>
          <w:rFonts w:ascii="Arial" w:hAnsi="Arial" w:cs="Arial"/>
          <w:sz w:val="20"/>
          <w:szCs w:val="20"/>
        </w:rPr>
        <w:t>(</w:t>
      </w:r>
      <w:r w:rsidRPr="00D117E2">
        <w:rPr>
          <w:rFonts w:ascii="Arial" w:hAnsi="Arial" w:cs="Arial"/>
          <w:sz w:val="20"/>
          <w:szCs w:val="20"/>
        </w:rPr>
        <w:t>KÚKK OKPPLCR a NPÚ Loket</w:t>
      </w:r>
      <w:r>
        <w:rPr>
          <w:rFonts w:ascii="Arial" w:hAnsi="Arial" w:cs="Arial"/>
          <w:sz w:val="20"/>
          <w:szCs w:val="20"/>
        </w:rPr>
        <w:t>)</w:t>
      </w:r>
      <w:r w:rsidRPr="00D117E2">
        <w:rPr>
          <w:rFonts w:ascii="Arial" w:hAnsi="Arial" w:cs="Arial"/>
          <w:sz w:val="20"/>
          <w:szCs w:val="20"/>
        </w:rPr>
        <w:t xml:space="preserve"> právo posuzovat realizační restaurátorské záměry na všechny umělecko-řemeslné výrobky, které se budou následně restaurovat. Vzhledem k tomu, že těchto prvků je více než 1000 kusů, nelze dosti dobře odhadnout, v jakých časových horizontech budou orgány OPP schopné toto kapacitně zvládnout a následně tudíž i dopad do HGM postupu a dokončování restaurátorských prací.</w:t>
      </w:r>
    </w:p>
    <w:p w:rsidR="009D7E46" w:rsidRPr="00D117E2" w:rsidRDefault="009D7E46" w:rsidP="009D7E46">
      <w:pPr>
        <w:spacing w:before="120" w:after="60"/>
        <w:ind w:firstLine="352"/>
        <w:jc w:val="both"/>
        <w:rPr>
          <w:rFonts w:ascii="Arial" w:hAnsi="Arial" w:cs="Arial"/>
          <w:i/>
          <w:sz w:val="20"/>
          <w:szCs w:val="20"/>
        </w:rPr>
      </w:pPr>
      <w:r w:rsidRPr="00D117E2">
        <w:rPr>
          <w:rFonts w:ascii="Arial" w:hAnsi="Arial" w:cs="Arial"/>
          <w:i/>
          <w:sz w:val="20"/>
          <w:szCs w:val="20"/>
        </w:rPr>
        <w:t xml:space="preserve">C. Rizika organizační </w:t>
      </w:r>
    </w:p>
    <w:p w:rsidR="009D7E46" w:rsidRPr="00D117E2" w:rsidRDefault="009D7E46" w:rsidP="009D7E46">
      <w:pPr>
        <w:ind w:left="360" w:firstLine="349"/>
        <w:jc w:val="both"/>
        <w:rPr>
          <w:rFonts w:ascii="Arial" w:hAnsi="Arial" w:cs="Arial"/>
          <w:sz w:val="20"/>
          <w:szCs w:val="20"/>
        </w:rPr>
      </w:pPr>
      <w:r w:rsidRPr="00D117E2">
        <w:rPr>
          <w:rFonts w:ascii="Arial" w:hAnsi="Arial" w:cs="Arial"/>
          <w:sz w:val="20"/>
          <w:szCs w:val="20"/>
        </w:rPr>
        <w:t xml:space="preserve">Pasporty a průzkumy všech historicky a architektonicky cenných umělecko-řemeslných prvků </w:t>
      </w:r>
      <w:r>
        <w:rPr>
          <w:rFonts w:ascii="Arial" w:hAnsi="Arial" w:cs="Arial"/>
          <w:sz w:val="20"/>
          <w:szCs w:val="20"/>
        </w:rPr>
        <w:t>(</w:t>
      </w:r>
      <w:r w:rsidRPr="00D117E2">
        <w:rPr>
          <w:rFonts w:ascii="Arial" w:hAnsi="Arial" w:cs="Arial"/>
          <w:sz w:val="20"/>
          <w:szCs w:val="20"/>
        </w:rPr>
        <w:t>movitých i nemovitých</w:t>
      </w:r>
      <w:r>
        <w:rPr>
          <w:rFonts w:ascii="Arial" w:hAnsi="Arial" w:cs="Arial"/>
          <w:sz w:val="20"/>
          <w:szCs w:val="20"/>
        </w:rPr>
        <w:t>)</w:t>
      </w:r>
      <w:r w:rsidRPr="00D117E2">
        <w:rPr>
          <w:rFonts w:ascii="Arial" w:hAnsi="Arial" w:cs="Arial"/>
          <w:sz w:val="20"/>
          <w:szCs w:val="20"/>
        </w:rPr>
        <w:t xml:space="preserve"> byly v souladu se smluvními termíny námi </w:t>
      </w:r>
      <w:proofErr w:type="gramStart"/>
      <w:r w:rsidRPr="00D117E2">
        <w:rPr>
          <w:rFonts w:ascii="Arial" w:hAnsi="Arial" w:cs="Arial"/>
          <w:sz w:val="20"/>
          <w:szCs w:val="20"/>
        </w:rPr>
        <w:t>provedeny v 1.Q r.</w:t>
      </w:r>
      <w:proofErr w:type="gramEnd"/>
      <w:r w:rsidRPr="00D117E2">
        <w:rPr>
          <w:rFonts w:ascii="Arial" w:hAnsi="Arial" w:cs="Arial"/>
          <w:sz w:val="20"/>
          <w:szCs w:val="20"/>
        </w:rPr>
        <w:t xml:space="preserve"> 2016. Od té doby v budově CLKV došlo k řadě jednorázových komerčních akcí </w:t>
      </w:r>
      <w:r>
        <w:rPr>
          <w:rFonts w:ascii="Arial" w:hAnsi="Arial" w:cs="Arial"/>
          <w:sz w:val="20"/>
          <w:szCs w:val="20"/>
        </w:rPr>
        <w:t>(</w:t>
      </w:r>
      <w:r w:rsidRPr="00D117E2">
        <w:rPr>
          <w:rFonts w:ascii="Arial" w:hAnsi="Arial" w:cs="Arial"/>
          <w:sz w:val="20"/>
          <w:szCs w:val="20"/>
        </w:rPr>
        <w:t>prezentace společnosti BMW, raut firmy MOET, pronájem filmovým štábům apod.</w:t>
      </w:r>
      <w:r>
        <w:rPr>
          <w:rFonts w:ascii="Arial" w:hAnsi="Arial" w:cs="Arial"/>
          <w:sz w:val="20"/>
          <w:szCs w:val="20"/>
        </w:rPr>
        <w:t>)</w:t>
      </w:r>
      <w:r w:rsidRPr="00D117E2">
        <w:rPr>
          <w:rFonts w:ascii="Arial" w:hAnsi="Arial" w:cs="Arial"/>
          <w:sz w:val="20"/>
          <w:szCs w:val="20"/>
        </w:rPr>
        <w:t xml:space="preserve"> v jejichž důsledku mohlo dojít k různým změnám v sortimentu, aktuálním stavu a lokalizaci těchto uměl. </w:t>
      </w:r>
      <w:proofErr w:type="spellStart"/>
      <w:r w:rsidRPr="00D117E2">
        <w:rPr>
          <w:rFonts w:ascii="Arial" w:hAnsi="Arial" w:cs="Arial"/>
          <w:sz w:val="20"/>
          <w:szCs w:val="20"/>
        </w:rPr>
        <w:t>řem</w:t>
      </w:r>
      <w:proofErr w:type="spellEnd"/>
      <w:r w:rsidRPr="00D117E2">
        <w:rPr>
          <w:rFonts w:ascii="Arial" w:hAnsi="Arial" w:cs="Arial"/>
          <w:sz w:val="20"/>
          <w:szCs w:val="20"/>
        </w:rPr>
        <w:t xml:space="preserve">. prvků. Může tedy nastat situace, že při zahájení stavby a předávání objektu CLKV stavebnímu dodavateli bude </w:t>
      </w:r>
      <w:proofErr w:type="gramStart"/>
      <w:r w:rsidRPr="00D117E2">
        <w:rPr>
          <w:rFonts w:ascii="Arial" w:hAnsi="Arial" w:cs="Arial"/>
          <w:sz w:val="20"/>
          <w:szCs w:val="20"/>
        </w:rPr>
        <w:t>sortiment  a stav</w:t>
      </w:r>
      <w:proofErr w:type="gramEnd"/>
      <w:r w:rsidRPr="00D117E2">
        <w:rPr>
          <w:rFonts w:ascii="Arial" w:hAnsi="Arial" w:cs="Arial"/>
          <w:sz w:val="20"/>
          <w:szCs w:val="20"/>
        </w:rPr>
        <w:t xml:space="preserve"> těchto prvků parciálně odlišný. Toto riziko lze opět minimalizovat kvalitním a důsledným výkonem technického dozoru investora při předávání stavby stavebnímu dodavateli.</w:t>
      </w:r>
    </w:p>
    <w:p w:rsidR="009D7E46" w:rsidRPr="00D117E2" w:rsidRDefault="009D7E46" w:rsidP="009D7E46">
      <w:pPr>
        <w:spacing w:before="120" w:after="60"/>
        <w:ind w:firstLine="352"/>
        <w:jc w:val="both"/>
        <w:rPr>
          <w:rFonts w:ascii="Arial" w:hAnsi="Arial" w:cs="Arial"/>
          <w:i/>
          <w:sz w:val="20"/>
          <w:szCs w:val="20"/>
        </w:rPr>
      </w:pPr>
      <w:r w:rsidRPr="00D117E2">
        <w:rPr>
          <w:rFonts w:ascii="Arial" w:hAnsi="Arial" w:cs="Arial"/>
          <w:i/>
          <w:sz w:val="20"/>
          <w:szCs w:val="20"/>
        </w:rPr>
        <w:t xml:space="preserve">D. Rizika plynoucí z tzv. klientských změn </w:t>
      </w:r>
    </w:p>
    <w:p w:rsidR="009D7E46" w:rsidRDefault="009D7E46" w:rsidP="009D7E46">
      <w:pPr>
        <w:ind w:left="360" w:firstLine="349"/>
        <w:jc w:val="both"/>
        <w:rPr>
          <w:rFonts w:ascii="Arial" w:hAnsi="Arial" w:cs="Arial"/>
          <w:sz w:val="20"/>
          <w:szCs w:val="20"/>
        </w:rPr>
      </w:pPr>
      <w:r w:rsidRPr="00D117E2">
        <w:rPr>
          <w:rFonts w:ascii="Arial" w:hAnsi="Arial" w:cs="Arial"/>
          <w:sz w:val="20"/>
          <w:szCs w:val="20"/>
        </w:rPr>
        <w:t>Vzhledem k tomu, že řada prostorů v budově CLKV je určena pro nájemní charakter využívání a v době zpracovávání projektové dokumentace příslušný nájemce není znám, nelze tudíž prioritně zajistit, aby jeho event. požadavky a nároky neznamenaly zásah do již realizovaných částí stavby, či změnu koncepce vyprojektovaných technických zařízení. Riziku s tím spojených víceprací lze předejít pouze tím, že nájemní smlouvy s potencionálními nájemci budou uzavřeny co nejdříve.</w:t>
      </w:r>
    </w:p>
    <w:p w:rsidR="009D7E46" w:rsidRPr="00D117E2" w:rsidRDefault="009D7E46" w:rsidP="009D7E46">
      <w:pPr>
        <w:ind w:left="360" w:firstLine="349"/>
        <w:jc w:val="both"/>
        <w:rPr>
          <w:rFonts w:ascii="Arial" w:hAnsi="Arial" w:cs="Arial"/>
          <w:sz w:val="20"/>
          <w:szCs w:val="20"/>
        </w:rPr>
      </w:pPr>
    </w:p>
    <w:p w:rsidR="009D7E46" w:rsidRPr="008F3CCE" w:rsidRDefault="009D7E46" w:rsidP="009D7E46">
      <w:pPr>
        <w:numPr>
          <w:ilvl w:val="0"/>
          <w:numId w:val="25"/>
        </w:numPr>
        <w:spacing w:after="120"/>
        <w:jc w:val="both"/>
        <w:rPr>
          <w:rFonts w:ascii="Arial" w:hAnsi="Arial" w:cs="Arial"/>
          <w:b/>
          <w:sz w:val="22"/>
          <w:szCs w:val="22"/>
        </w:rPr>
      </w:pPr>
      <w:r w:rsidRPr="008F3CCE">
        <w:rPr>
          <w:rFonts w:ascii="Arial" w:hAnsi="Arial" w:cs="Arial"/>
          <w:b/>
          <w:sz w:val="22"/>
          <w:szCs w:val="22"/>
        </w:rPr>
        <w:t>Závěr</w:t>
      </w:r>
    </w:p>
    <w:p w:rsidR="009D7E46" w:rsidRPr="008F3CCE" w:rsidRDefault="009D7E46" w:rsidP="009D7E46">
      <w:pPr>
        <w:ind w:left="357" w:firstLine="357"/>
        <w:jc w:val="both"/>
        <w:rPr>
          <w:rFonts w:ascii="Arial" w:hAnsi="Arial" w:cs="Arial"/>
          <w:sz w:val="20"/>
          <w:szCs w:val="20"/>
        </w:rPr>
      </w:pPr>
      <w:r w:rsidRPr="008F3CCE">
        <w:rPr>
          <w:rFonts w:ascii="Arial" w:hAnsi="Arial" w:cs="Arial"/>
          <w:sz w:val="20"/>
          <w:szCs w:val="20"/>
        </w:rPr>
        <w:t xml:space="preserve">Návrh osvětlení a </w:t>
      </w:r>
      <w:r>
        <w:rPr>
          <w:rFonts w:ascii="Arial" w:hAnsi="Arial" w:cs="Arial"/>
          <w:sz w:val="20"/>
          <w:szCs w:val="20"/>
        </w:rPr>
        <w:t>koncept</w:t>
      </w:r>
      <w:r w:rsidRPr="008F3CCE">
        <w:rPr>
          <w:rFonts w:ascii="Arial" w:hAnsi="Arial" w:cs="Arial"/>
          <w:sz w:val="20"/>
          <w:szCs w:val="20"/>
        </w:rPr>
        <w:t xml:space="preserve"> ovládání </w:t>
      </w:r>
      <w:r>
        <w:rPr>
          <w:rFonts w:ascii="Arial" w:hAnsi="Arial" w:cs="Arial"/>
          <w:sz w:val="20"/>
          <w:szCs w:val="20"/>
        </w:rPr>
        <w:t>osvětlení vychází z projektové dokumentace pro provedení stavby 201</w:t>
      </w:r>
      <w:r w:rsidR="009A232B">
        <w:rPr>
          <w:rFonts w:ascii="Arial" w:hAnsi="Arial" w:cs="Arial"/>
          <w:sz w:val="20"/>
          <w:szCs w:val="20"/>
        </w:rPr>
        <w:t>8</w:t>
      </w:r>
      <w:r>
        <w:rPr>
          <w:rFonts w:ascii="Arial" w:hAnsi="Arial" w:cs="Arial"/>
          <w:sz w:val="20"/>
          <w:szCs w:val="20"/>
        </w:rPr>
        <w:t xml:space="preserve">. Úpravy v rozmístění svítidel </w:t>
      </w:r>
      <w:r w:rsidR="0064321D">
        <w:rPr>
          <w:rFonts w:ascii="Arial" w:hAnsi="Arial" w:cs="Arial"/>
          <w:sz w:val="20"/>
          <w:szCs w:val="20"/>
        </w:rPr>
        <w:t>jsou</w:t>
      </w:r>
      <w:r>
        <w:rPr>
          <w:rFonts w:ascii="Arial" w:hAnsi="Arial" w:cs="Arial"/>
          <w:sz w:val="20"/>
          <w:szCs w:val="20"/>
        </w:rPr>
        <w:t xml:space="preserve"> provedené pouze v místnostech, kde došlo ke změnám dispozice nebo funkčního využití</w:t>
      </w:r>
      <w:r w:rsidRPr="008F3CCE">
        <w:rPr>
          <w:rFonts w:ascii="Arial" w:hAnsi="Arial" w:cs="Arial"/>
          <w:sz w:val="20"/>
          <w:szCs w:val="20"/>
        </w:rPr>
        <w:t>.</w:t>
      </w:r>
      <w:r>
        <w:rPr>
          <w:rFonts w:ascii="Arial" w:hAnsi="Arial" w:cs="Arial"/>
          <w:sz w:val="20"/>
          <w:szCs w:val="20"/>
        </w:rPr>
        <w:t xml:space="preserve"> Přesné p</w:t>
      </w:r>
      <w:r w:rsidRPr="008F3CCE">
        <w:rPr>
          <w:rFonts w:ascii="Arial" w:hAnsi="Arial" w:cs="Arial"/>
          <w:sz w:val="20"/>
          <w:szCs w:val="20"/>
        </w:rPr>
        <w:t xml:space="preserve">ozice svítidel </w:t>
      </w:r>
      <w:r w:rsidR="0064321D">
        <w:rPr>
          <w:rFonts w:ascii="Arial" w:hAnsi="Arial" w:cs="Arial"/>
          <w:sz w:val="20"/>
          <w:szCs w:val="20"/>
        </w:rPr>
        <w:t>jsou</w:t>
      </w:r>
      <w:r>
        <w:rPr>
          <w:rFonts w:ascii="Arial" w:hAnsi="Arial" w:cs="Arial"/>
          <w:sz w:val="20"/>
          <w:szCs w:val="20"/>
        </w:rPr>
        <w:t xml:space="preserve"> zakreslené v</w:t>
      </w:r>
      <w:r w:rsidR="0064321D">
        <w:rPr>
          <w:rFonts w:ascii="Arial" w:hAnsi="Arial" w:cs="Arial"/>
          <w:sz w:val="20"/>
          <w:szCs w:val="20"/>
        </w:rPr>
        <w:t xml:space="preserve"> přiložené </w:t>
      </w:r>
      <w:r w:rsidRPr="008F3CCE">
        <w:rPr>
          <w:rFonts w:ascii="Arial" w:hAnsi="Arial" w:cs="Arial"/>
          <w:sz w:val="20"/>
          <w:szCs w:val="20"/>
        </w:rPr>
        <w:t>výkresové dokumentac</w:t>
      </w:r>
      <w:r>
        <w:rPr>
          <w:rFonts w:ascii="Arial" w:hAnsi="Arial" w:cs="Arial"/>
          <w:sz w:val="20"/>
          <w:szCs w:val="20"/>
        </w:rPr>
        <w:t>i</w:t>
      </w:r>
      <w:r w:rsidRPr="008F3CCE">
        <w:rPr>
          <w:rFonts w:ascii="Arial" w:hAnsi="Arial" w:cs="Arial"/>
          <w:sz w:val="20"/>
          <w:szCs w:val="20"/>
        </w:rPr>
        <w:t xml:space="preserve">, podrobný popis, světelně-technické parametry a obrázky typových svítidel jsou uvedené v části </w:t>
      </w:r>
      <w:r w:rsidR="0064321D">
        <w:rPr>
          <w:rFonts w:ascii="Arial" w:hAnsi="Arial" w:cs="Arial"/>
          <w:sz w:val="20"/>
          <w:szCs w:val="20"/>
        </w:rPr>
        <w:t>2</w:t>
      </w:r>
      <w:r w:rsidRPr="008F3CCE">
        <w:rPr>
          <w:rFonts w:ascii="Arial" w:hAnsi="Arial" w:cs="Arial"/>
          <w:sz w:val="20"/>
          <w:szCs w:val="20"/>
        </w:rPr>
        <w:t xml:space="preserve"> – Kniha svítidel, která je nedílnou součástí této technické zprávy.</w:t>
      </w:r>
    </w:p>
    <w:p w:rsidR="009D7E46" w:rsidRDefault="009D7E46" w:rsidP="009D7E46">
      <w:pPr>
        <w:ind w:left="357" w:firstLine="357"/>
        <w:jc w:val="both"/>
        <w:rPr>
          <w:rFonts w:ascii="Arial" w:hAnsi="Arial" w:cs="Arial"/>
          <w:sz w:val="20"/>
          <w:szCs w:val="20"/>
        </w:rPr>
      </w:pPr>
      <w:r w:rsidRPr="008F3CCE">
        <w:rPr>
          <w:rFonts w:ascii="Arial" w:hAnsi="Arial" w:cs="Arial"/>
          <w:sz w:val="20"/>
          <w:szCs w:val="20"/>
        </w:rPr>
        <w:t>V</w:t>
      </w:r>
      <w:r w:rsidR="007423C3">
        <w:rPr>
          <w:rFonts w:ascii="Arial" w:hAnsi="Arial" w:cs="Arial"/>
          <w:sz w:val="20"/>
          <w:szCs w:val="20"/>
        </w:rPr>
        <w:t>šechna</w:t>
      </w:r>
      <w:r w:rsidRPr="008F3CCE">
        <w:rPr>
          <w:rFonts w:ascii="Arial" w:hAnsi="Arial" w:cs="Arial"/>
          <w:sz w:val="20"/>
          <w:szCs w:val="20"/>
        </w:rPr>
        <w:t xml:space="preserve"> navrhovan</w:t>
      </w:r>
      <w:r w:rsidR="007423C3">
        <w:rPr>
          <w:rFonts w:ascii="Arial" w:hAnsi="Arial" w:cs="Arial"/>
          <w:sz w:val="20"/>
          <w:szCs w:val="20"/>
        </w:rPr>
        <w:t>á</w:t>
      </w:r>
      <w:r w:rsidRPr="008F3CCE">
        <w:rPr>
          <w:rFonts w:ascii="Arial" w:hAnsi="Arial" w:cs="Arial"/>
          <w:sz w:val="20"/>
          <w:szCs w:val="20"/>
        </w:rPr>
        <w:t xml:space="preserve"> svítid</w:t>
      </w:r>
      <w:r w:rsidR="007423C3">
        <w:rPr>
          <w:rFonts w:ascii="Arial" w:hAnsi="Arial" w:cs="Arial"/>
          <w:sz w:val="20"/>
          <w:szCs w:val="20"/>
        </w:rPr>
        <w:t>la</w:t>
      </w:r>
      <w:r w:rsidRPr="008F3CCE">
        <w:rPr>
          <w:rFonts w:ascii="Arial" w:hAnsi="Arial" w:cs="Arial"/>
          <w:sz w:val="20"/>
          <w:szCs w:val="20"/>
        </w:rPr>
        <w:t xml:space="preserve"> j</w:t>
      </w:r>
      <w:r w:rsidR="007423C3">
        <w:rPr>
          <w:rFonts w:ascii="Arial" w:hAnsi="Arial" w:cs="Arial"/>
          <w:sz w:val="20"/>
          <w:szCs w:val="20"/>
        </w:rPr>
        <w:t>sou</w:t>
      </w:r>
      <w:r w:rsidRPr="008F3CCE">
        <w:rPr>
          <w:rFonts w:ascii="Arial" w:hAnsi="Arial" w:cs="Arial"/>
          <w:sz w:val="20"/>
          <w:szCs w:val="20"/>
        </w:rPr>
        <w:t xml:space="preserve"> uvažovaná se světelnými zdroji LED. Vzhledem k tomu, že k realizaci projektu nemusí dojít v blízké době a s ohledem na rychlý postup ve vývoji a výrobě LED, doporučuje projektant zkoordinovat navržené typy svítidel s aktuální situací na trhu v době realizace. Z předepsaných hodnot jsou závaznými vyzařovací charakteristika, technické vlastnosti svítidla a spektrální vlastnosti světla. Hodnoty světelného toku nesmí být podkročeny. Změny v koncepčním řešení projektu nelze provádět bez změny projektové dokumentace.</w:t>
      </w:r>
    </w:p>
    <w:p w:rsidR="009D7E46" w:rsidRDefault="009D7E46" w:rsidP="009D7E46">
      <w:pPr>
        <w:ind w:left="357" w:firstLine="357"/>
        <w:jc w:val="both"/>
        <w:rPr>
          <w:rFonts w:ascii="Arial" w:hAnsi="Arial" w:cs="Arial"/>
          <w:sz w:val="20"/>
          <w:szCs w:val="20"/>
        </w:rPr>
      </w:pPr>
      <w:r>
        <w:rPr>
          <w:rFonts w:ascii="Arial" w:hAnsi="Arial" w:cs="Arial"/>
          <w:sz w:val="20"/>
          <w:szCs w:val="20"/>
        </w:rPr>
        <w:lastRenderedPageBreak/>
        <w:t xml:space="preserve">Součástí návrhu osvětlení </w:t>
      </w:r>
      <w:r w:rsidR="009133BE">
        <w:rPr>
          <w:rFonts w:ascii="Arial" w:hAnsi="Arial" w:cs="Arial"/>
          <w:sz w:val="20"/>
          <w:szCs w:val="20"/>
        </w:rPr>
        <w:t xml:space="preserve">byla </w:t>
      </w:r>
      <w:r>
        <w:rPr>
          <w:rFonts w:ascii="Arial" w:hAnsi="Arial" w:cs="Arial"/>
          <w:sz w:val="20"/>
          <w:szCs w:val="20"/>
        </w:rPr>
        <w:t>také analýza denního osvětlení nájemních jednotek</w:t>
      </w:r>
      <w:r w:rsidR="009133BE">
        <w:rPr>
          <w:rFonts w:ascii="Arial" w:hAnsi="Arial" w:cs="Arial"/>
          <w:sz w:val="20"/>
          <w:szCs w:val="20"/>
        </w:rPr>
        <w:t>, vypracovaná v</w:t>
      </w:r>
      <w:r w:rsidR="006F5382">
        <w:rPr>
          <w:rFonts w:ascii="Arial" w:hAnsi="Arial" w:cs="Arial"/>
          <w:sz w:val="20"/>
          <w:szCs w:val="20"/>
        </w:rPr>
        <w:t xml:space="preserve"> září </w:t>
      </w:r>
      <w:r w:rsidR="009133BE">
        <w:rPr>
          <w:rFonts w:ascii="Arial" w:hAnsi="Arial" w:cs="Arial"/>
          <w:sz w:val="20"/>
          <w:szCs w:val="20"/>
        </w:rPr>
        <w:t xml:space="preserve">2018. Z této analýzy </w:t>
      </w:r>
      <w:r w:rsidR="00EB47B8">
        <w:rPr>
          <w:rFonts w:ascii="Arial" w:hAnsi="Arial" w:cs="Arial"/>
          <w:sz w:val="20"/>
          <w:szCs w:val="20"/>
        </w:rPr>
        <w:t>vyplynulo</w:t>
      </w:r>
      <w:r>
        <w:rPr>
          <w:rFonts w:ascii="Arial" w:hAnsi="Arial" w:cs="Arial"/>
          <w:sz w:val="20"/>
          <w:szCs w:val="20"/>
        </w:rPr>
        <w:t xml:space="preserve">, že za </w:t>
      </w:r>
      <w:r w:rsidR="00265683">
        <w:rPr>
          <w:rFonts w:ascii="Arial" w:hAnsi="Arial" w:cs="Arial"/>
          <w:sz w:val="20"/>
          <w:szCs w:val="20"/>
        </w:rPr>
        <w:t>da</w:t>
      </w:r>
      <w:r>
        <w:rPr>
          <w:rFonts w:ascii="Arial" w:hAnsi="Arial" w:cs="Arial"/>
          <w:sz w:val="20"/>
          <w:szCs w:val="20"/>
        </w:rPr>
        <w:t xml:space="preserve">ných podmínek je možné v nájemních jednotkách ve 2.NP připustit sdružené osvětlení. Ve 3.NP neumožňují okenní otvory ani takové množství denního světla, kdy je ještě možné uvažovat o sdruženém osvětlení. Protože budova Císařských lázní je Národní kulturní památkou a okna ve 3.NP není možné zvětšit, tak byla s pracovníky Krajské hygienické stanice v Karlových Varech konzultována možnost trvalého umělého osvětlení v celém prostoru nájemních jednotek tak, jak umožňuje </w:t>
      </w:r>
      <w:r w:rsidRPr="006731E6">
        <w:rPr>
          <w:rFonts w:ascii="Arial" w:hAnsi="Arial" w:cs="Arial"/>
          <w:b/>
          <w:i/>
          <w:sz w:val="20"/>
          <w:szCs w:val="20"/>
        </w:rPr>
        <w:t>Nařízení vlády</w:t>
      </w:r>
      <w:r>
        <w:rPr>
          <w:rFonts w:ascii="Arial" w:hAnsi="Arial" w:cs="Arial"/>
          <w:b/>
          <w:i/>
          <w:sz w:val="20"/>
          <w:szCs w:val="20"/>
        </w:rPr>
        <w:t xml:space="preserve"> č. 361/2007Sb., §45, </w:t>
      </w:r>
      <w:proofErr w:type="gramStart"/>
      <w:r>
        <w:rPr>
          <w:rFonts w:ascii="Arial" w:hAnsi="Arial" w:cs="Arial"/>
          <w:b/>
          <w:i/>
          <w:sz w:val="20"/>
          <w:szCs w:val="20"/>
        </w:rPr>
        <w:t>odst. 6,</w:t>
      </w:r>
      <w:r w:rsidRPr="006731E6">
        <w:rPr>
          <w:rFonts w:ascii="Arial" w:hAnsi="Arial" w:cs="Arial"/>
          <w:b/>
          <w:i/>
          <w:sz w:val="20"/>
          <w:szCs w:val="20"/>
        </w:rPr>
        <w:t>c</w:t>
      </w:r>
      <w:r>
        <w:rPr>
          <w:rFonts w:ascii="Arial" w:hAnsi="Arial" w:cs="Arial"/>
          <w:sz w:val="20"/>
          <w:szCs w:val="20"/>
        </w:rPr>
        <w:t xml:space="preserve"> a </w:t>
      </w:r>
      <w:r w:rsidRPr="00176460">
        <w:rPr>
          <w:rFonts w:ascii="Arial" w:hAnsi="Arial" w:cs="Arial"/>
          <w:b/>
          <w:i/>
          <w:sz w:val="20"/>
          <w:szCs w:val="20"/>
        </w:rPr>
        <w:t>odst.</w:t>
      </w:r>
      <w:proofErr w:type="gramEnd"/>
      <w:r w:rsidRPr="00176460">
        <w:rPr>
          <w:rFonts w:ascii="Arial" w:hAnsi="Arial" w:cs="Arial"/>
          <w:b/>
          <w:i/>
          <w:sz w:val="20"/>
          <w:szCs w:val="20"/>
        </w:rPr>
        <w:t xml:space="preserve"> 7</w:t>
      </w:r>
      <w:r>
        <w:rPr>
          <w:rFonts w:ascii="Arial" w:hAnsi="Arial" w:cs="Arial"/>
          <w:b/>
          <w:i/>
          <w:sz w:val="20"/>
          <w:szCs w:val="20"/>
        </w:rPr>
        <w:t>.</w:t>
      </w:r>
      <w:r>
        <w:rPr>
          <w:rFonts w:ascii="Arial" w:hAnsi="Arial" w:cs="Arial"/>
          <w:sz w:val="20"/>
          <w:szCs w:val="20"/>
        </w:rPr>
        <w:t xml:space="preserve"> Udržovaná průměrná osvětlenost bude o jeden stupeň vyšší, než je stanoveno pro prostory s vyhovujícím denním osvětlením (viz ČSN EN 12 464-1, EN 12 665). </w:t>
      </w:r>
    </w:p>
    <w:p w:rsidR="009D7E46" w:rsidRPr="008F3CCE" w:rsidRDefault="009D7E46" w:rsidP="009D7E46">
      <w:pPr>
        <w:ind w:left="357" w:firstLine="357"/>
        <w:jc w:val="both"/>
        <w:rPr>
          <w:rFonts w:ascii="Arial" w:hAnsi="Arial" w:cs="Arial"/>
          <w:sz w:val="20"/>
          <w:szCs w:val="20"/>
        </w:rPr>
      </w:pPr>
    </w:p>
    <w:p w:rsidR="009D7E46" w:rsidRPr="008F3CCE" w:rsidRDefault="009D7E46" w:rsidP="009D7E46">
      <w:pPr>
        <w:rPr>
          <w:rFonts w:ascii="Arial" w:hAnsi="Arial" w:cs="Arial"/>
          <w:b/>
          <w:sz w:val="22"/>
          <w:szCs w:val="22"/>
        </w:rPr>
      </w:pPr>
    </w:p>
    <w:p w:rsidR="009D7E46" w:rsidRPr="00D475B0" w:rsidRDefault="009D7E46">
      <w:pPr>
        <w:tabs>
          <w:tab w:val="right" w:pos="8280"/>
        </w:tabs>
        <w:rPr>
          <w:rFonts w:ascii="Arial" w:hAnsi="Arial" w:cs="Arial"/>
          <w:sz w:val="20"/>
          <w:szCs w:val="20"/>
        </w:rPr>
      </w:pPr>
    </w:p>
    <w:sectPr w:rsidR="009D7E46" w:rsidRPr="00D475B0" w:rsidSect="003D4DEB">
      <w:headerReference w:type="default" r:id="rId8"/>
      <w:footerReference w:type="even" r:id="rId9"/>
      <w:footerReference w:type="default" r:id="rId10"/>
      <w:headerReference w:type="first" r:id="rId11"/>
      <w:footerReference w:type="first" r:id="rId12"/>
      <w:type w:val="continuous"/>
      <w:pgSz w:w="11907" w:h="16840" w:code="9"/>
      <w:pgMar w:top="1247" w:right="851" w:bottom="1531" w:left="1985" w:header="425" w:footer="567"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9FA" w:rsidRDefault="006779FA">
      <w:r>
        <w:separator/>
      </w:r>
    </w:p>
  </w:endnote>
  <w:endnote w:type="continuationSeparator" w:id="0">
    <w:p w:rsidR="006779FA" w:rsidRDefault="00677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PalmSprings">
    <w:panose1 w:val="00000000000000000000"/>
    <w:charset w:val="00"/>
    <w:family w:val="auto"/>
    <w:notTrueType/>
    <w:pitch w:val="variable"/>
    <w:sig w:usb0="00000003" w:usb1="00000000" w:usb2="00000000" w:usb3="00000000" w:csb0="00000001" w:csb1="00000000"/>
  </w:font>
  <w:font w:name="MS Sans Serif">
    <w:altName w:val="Arial"/>
    <w:panose1 w:val="020B05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9FA" w:rsidRDefault="006779FA" w:rsidP="00FC5A6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79FA" w:rsidRDefault="006779FA" w:rsidP="00BD38B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6779FA" w:rsidRPr="00FC23FB" w:rsidTr="00C00E9A">
      <w:tc>
        <w:tcPr>
          <w:tcW w:w="9287" w:type="dxa"/>
        </w:tcPr>
        <w:p w:rsidR="006779FA" w:rsidRPr="00C00E9A" w:rsidRDefault="006779FA" w:rsidP="00467F77">
          <w:pPr>
            <w:pStyle w:val="Zpat"/>
            <w:ind w:right="360"/>
            <w:rPr>
              <w:rFonts w:ascii="Arial Narrow" w:hAnsi="Arial Narrow"/>
              <w:sz w:val="20"/>
              <w:szCs w:val="20"/>
            </w:rPr>
          </w:pPr>
          <w:r w:rsidRPr="00C00E9A">
            <w:rPr>
              <w:rFonts w:ascii="Arial Narrow" w:hAnsi="Arial Narrow"/>
              <w:sz w:val="20"/>
              <w:szCs w:val="20"/>
            </w:rPr>
            <w:t>Revitalizace objektu Císařských lázní - D</w:t>
          </w:r>
          <w:r w:rsidR="0043194B">
            <w:rPr>
              <w:rFonts w:ascii="Arial Narrow" w:hAnsi="Arial Narrow"/>
              <w:sz w:val="20"/>
              <w:szCs w:val="20"/>
            </w:rPr>
            <w:t>ZSPD</w:t>
          </w:r>
          <w:r w:rsidR="00EC0A60">
            <w:rPr>
              <w:rFonts w:ascii="Arial Narrow" w:hAnsi="Arial Narrow"/>
              <w:sz w:val="20"/>
              <w:szCs w:val="20"/>
            </w:rPr>
            <w:t xml:space="preserve"> </w:t>
          </w:r>
          <w:r w:rsidR="00EC0A60">
            <w:rPr>
              <w:rFonts w:ascii="Arial Narrow" w:hAnsi="Arial Narrow"/>
              <w:sz w:val="20"/>
              <w:szCs w:val="20"/>
            </w:rPr>
            <w:tab/>
          </w:r>
          <w:r w:rsidR="00EC0A60">
            <w:rPr>
              <w:rFonts w:ascii="Arial Narrow" w:hAnsi="Arial Narrow"/>
              <w:sz w:val="20"/>
              <w:szCs w:val="20"/>
            </w:rPr>
            <w:tab/>
            <w:t>1</w:t>
          </w:r>
          <w:r w:rsidR="00467F77">
            <w:rPr>
              <w:rFonts w:ascii="Arial Narrow" w:hAnsi="Arial Narrow"/>
              <w:sz w:val="20"/>
              <w:szCs w:val="20"/>
            </w:rPr>
            <w:t>0</w:t>
          </w:r>
          <w:r w:rsidRPr="00C00E9A">
            <w:rPr>
              <w:rFonts w:ascii="Arial Narrow" w:hAnsi="Arial Narrow"/>
              <w:sz w:val="20"/>
              <w:szCs w:val="20"/>
            </w:rPr>
            <w:t>/20</w:t>
          </w:r>
          <w:r w:rsidR="00467F77">
            <w:rPr>
              <w:rFonts w:ascii="Arial Narrow" w:hAnsi="Arial Narrow"/>
              <w:sz w:val="20"/>
              <w:szCs w:val="20"/>
            </w:rPr>
            <w:t>22</w:t>
          </w:r>
          <w:r w:rsidRPr="00C00E9A">
            <w:rPr>
              <w:rFonts w:ascii="Arial Narrow" w:hAnsi="Arial Narrow"/>
              <w:sz w:val="20"/>
              <w:szCs w:val="20"/>
            </w:rPr>
            <w:t xml:space="preserve">                                                                                                      </w:t>
          </w:r>
        </w:p>
      </w:tc>
    </w:tr>
    <w:tr w:rsidR="006779FA" w:rsidRPr="00FC23FB" w:rsidTr="00C00E9A">
      <w:tc>
        <w:tcPr>
          <w:tcW w:w="9287" w:type="dxa"/>
        </w:tcPr>
        <w:p w:rsidR="006779FA" w:rsidRPr="00C00E9A" w:rsidRDefault="006779FA" w:rsidP="00C00E9A">
          <w:pPr>
            <w:pStyle w:val="Zpat"/>
            <w:jc w:val="center"/>
            <w:rPr>
              <w:rFonts w:ascii="Arial Narrow" w:hAnsi="Arial Narrow"/>
              <w:sz w:val="20"/>
              <w:szCs w:val="20"/>
            </w:rPr>
          </w:pPr>
          <w:r w:rsidRPr="00C00E9A">
            <w:rPr>
              <w:rStyle w:val="slostrnky"/>
              <w:rFonts w:ascii="Arial Narrow" w:hAnsi="Arial Narrow"/>
              <w:sz w:val="20"/>
              <w:szCs w:val="20"/>
            </w:rPr>
            <w:fldChar w:fldCharType="begin"/>
          </w:r>
          <w:r w:rsidRPr="00C00E9A">
            <w:rPr>
              <w:rStyle w:val="slostrnky"/>
              <w:rFonts w:ascii="Arial Narrow" w:hAnsi="Arial Narrow"/>
              <w:sz w:val="20"/>
              <w:szCs w:val="20"/>
            </w:rPr>
            <w:instrText xml:space="preserve"> PAGE </w:instrText>
          </w:r>
          <w:r w:rsidRPr="00C00E9A">
            <w:rPr>
              <w:rStyle w:val="slostrnky"/>
              <w:rFonts w:ascii="Arial Narrow" w:hAnsi="Arial Narrow"/>
              <w:sz w:val="20"/>
              <w:szCs w:val="20"/>
            </w:rPr>
            <w:fldChar w:fldCharType="separate"/>
          </w:r>
          <w:r w:rsidR="00FB0916">
            <w:rPr>
              <w:rStyle w:val="slostrnky"/>
              <w:rFonts w:ascii="Arial Narrow" w:hAnsi="Arial Narrow"/>
              <w:noProof/>
              <w:sz w:val="20"/>
              <w:szCs w:val="20"/>
            </w:rPr>
            <w:t>6</w:t>
          </w:r>
          <w:r w:rsidRPr="00C00E9A">
            <w:rPr>
              <w:rStyle w:val="slostrnky"/>
              <w:rFonts w:ascii="Arial Narrow" w:hAnsi="Arial Narrow"/>
              <w:sz w:val="20"/>
              <w:szCs w:val="20"/>
            </w:rPr>
            <w:fldChar w:fldCharType="end"/>
          </w:r>
          <w:r w:rsidRPr="00C00E9A">
            <w:rPr>
              <w:rStyle w:val="slostrnky"/>
              <w:rFonts w:ascii="Arial Narrow" w:hAnsi="Arial Narrow"/>
              <w:sz w:val="20"/>
              <w:szCs w:val="20"/>
            </w:rPr>
            <w:t xml:space="preserve"> - </w:t>
          </w:r>
          <w:r w:rsidRPr="00C00E9A">
            <w:rPr>
              <w:rStyle w:val="slostrnky"/>
              <w:rFonts w:ascii="Arial Narrow" w:hAnsi="Arial Narrow"/>
              <w:sz w:val="20"/>
              <w:szCs w:val="20"/>
            </w:rPr>
            <w:fldChar w:fldCharType="begin"/>
          </w:r>
          <w:r w:rsidRPr="00C00E9A">
            <w:rPr>
              <w:rStyle w:val="slostrnky"/>
              <w:rFonts w:ascii="Arial Narrow" w:hAnsi="Arial Narrow"/>
              <w:sz w:val="20"/>
              <w:szCs w:val="20"/>
            </w:rPr>
            <w:instrText xml:space="preserve"> NUMPAGES </w:instrText>
          </w:r>
          <w:r w:rsidRPr="00C00E9A">
            <w:rPr>
              <w:rStyle w:val="slostrnky"/>
              <w:rFonts w:ascii="Arial Narrow" w:hAnsi="Arial Narrow"/>
              <w:sz w:val="20"/>
              <w:szCs w:val="20"/>
            </w:rPr>
            <w:fldChar w:fldCharType="separate"/>
          </w:r>
          <w:r w:rsidR="00FB0916">
            <w:rPr>
              <w:rStyle w:val="slostrnky"/>
              <w:rFonts w:ascii="Arial Narrow" w:hAnsi="Arial Narrow"/>
              <w:noProof/>
              <w:sz w:val="20"/>
              <w:szCs w:val="20"/>
            </w:rPr>
            <w:t>6</w:t>
          </w:r>
          <w:r w:rsidRPr="00C00E9A">
            <w:rPr>
              <w:rStyle w:val="slostrnky"/>
              <w:rFonts w:ascii="Arial Narrow" w:hAnsi="Arial Narrow"/>
              <w:sz w:val="20"/>
              <w:szCs w:val="20"/>
            </w:rPr>
            <w:fldChar w:fldCharType="end"/>
          </w:r>
        </w:p>
      </w:tc>
    </w:tr>
  </w:tbl>
  <w:p w:rsidR="006779FA" w:rsidRDefault="006779F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6779FA" w:rsidRPr="00FC23FB" w:rsidTr="00C00E9A">
      <w:tc>
        <w:tcPr>
          <w:tcW w:w="9308" w:type="dxa"/>
        </w:tcPr>
        <w:p w:rsidR="006779FA" w:rsidRPr="00C00E9A" w:rsidRDefault="006779FA" w:rsidP="007F6930">
          <w:pPr>
            <w:pStyle w:val="Zpat"/>
            <w:rPr>
              <w:rFonts w:ascii="Arial Narrow" w:hAnsi="Arial Narrow"/>
              <w:sz w:val="20"/>
              <w:szCs w:val="20"/>
            </w:rPr>
          </w:pPr>
          <w:r w:rsidRPr="00C00E9A">
            <w:rPr>
              <w:rFonts w:ascii="Arial Narrow" w:hAnsi="Arial Narrow"/>
              <w:sz w:val="20"/>
              <w:szCs w:val="20"/>
            </w:rPr>
            <w:t xml:space="preserve">Revitalizace objektu </w:t>
          </w:r>
          <w:r>
            <w:rPr>
              <w:rFonts w:ascii="Arial Narrow" w:hAnsi="Arial Narrow"/>
              <w:sz w:val="20"/>
              <w:szCs w:val="20"/>
            </w:rPr>
            <w:t>Císařských lázní   - D</w:t>
          </w:r>
          <w:r w:rsidR="0043194B">
            <w:rPr>
              <w:rFonts w:ascii="Arial Narrow" w:hAnsi="Arial Narrow"/>
              <w:sz w:val="20"/>
              <w:szCs w:val="20"/>
            </w:rPr>
            <w:t>ZSPD</w:t>
          </w:r>
          <w:r w:rsidRPr="00C00E9A">
            <w:rPr>
              <w:rFonts w:ascii="Arial Narrow" w:hAnsi="Arial Narrow"/>
              <w:sz w:val="20"/>
              <w:szCs w:val="20"/>
            </w:rPr>
            <w:tab/>
          </w:r>
          <w:r w:rsidRPr="00C00E9A">
            <w:rPr>
              <w:rFonts w:ascii="Arial Narrow" w:hAnsi="Arial Narrow"/>
              <w:sz w:val="20"/>
              <w:szCs w:val="20"/>
            </w:rPr>
            <w:tab/>
          </w:r>
          <w:r w:rsidR="007F6930">
            <w:rPr>
              <w:rFonts w:ascii="Arial Narrow" w:hAnsi="Arial Narrow"/>
              <w:sz w:val="20"/>
              <w:szCs w:val="20"/>
            </w:rPr>
            <w:t>11</w:t>
          </w:r>
          <w:r w:rsidRPr="00C00E9A">
            <w:rPr>
              <w:rFonts w:ascii="Arial Narrow" w:hAnsi="Arial Narrow"/>
              <w:sz w:val="20"/>
              <w:szCs w:val="20"/>
            </w:rPr>
            <w:t>/201</w:t>
          </w:r>
          <w:r w:rsidR="0043194B">
            <w:rPr>
              <w:rFonts w:ascii="Arial Narrow" w:hAnsi="Arial Narrow"/>
              <w:sz w:val="20"/>
              <w:szCs w:val="20"/>
            </w:rPr>
            <w:t>8</w:t>
          </w:r>
        </w:p>
      </w:tc>
    </w:tr>
    <w:tr w:rsidR="006779FA" w:rsidRPr="00FC23FB" w:rsidTr="00C00E9A">
      <w:tc>
        <w:tcPr>
          <w:tcW w:w="9308" w:type="dxa"/>
        </w:tcPr>
        <w:p w:rsidR="006779FA" w:rsidRPr="00C00E9A" w:rsidRDefault="006779FA" w:rsidP="00C00E9A">
          <w:pPr>
            <w:pStyle w:val="Zpat"/>
            <w:jc w:val="center"/>
            <w:rPr>
              <w:rFonts w:ascii="Arial Narrow" w:hAnsi="Arial Narrow"/>
              <w:sz w:val="20"/>
              <w:szCs w:val="20"/>
            </w:rPr>
          </w:pPr>
          <w:r w:rsidRPr="00C00E9A">
            <w:rPr>
              <w:rStyle w:val="slostrnky"/>
              <w:rFonts w:ascii="Arial Narrow" w:hAnsi="Arial Narrow"/>
              <w:sz w:val="20"/>
              <w:szCs w:val="20"/>
            </w:rPr>
            <w:fldChar w:fldCharType="begin"/>
          </w:r>
          <w:r w:rsidRPr="00C00E9A">
            <w:rPr>
              <w:rStyle w:val="slostrnky"/>
              <w:rFonts w:ascii="Arial Narrow" w:hAnsi="Arial Narrow"/>
              <w:sz w:val="20"/>
              <w:szCs w:val="20"/>
            </w:rPr>
            <w:instrText xml:space="preserve"> PAGE </w:instrText>
          </w:r>
          <w:r w:rsidRPr="00C00E9A">
            <w:rPr>
              <w:rStyle w:val="slostrnky"/>
              <w:rFonts w:ascii="Arial Narrow" w:hAnsi="Arial Narrow"/>
              <w:sz w:val="20"/>
              <w:szCs w:val="20"/>
            </w:rPr>
            <w:fldChar w:fldCharType="separate"/>
          </w:r>
          <w:r w:rsidR="00FB0916">
            <w:rPr>
              <w:rStyle w:val="slostrnky"/>
              <w:rFonts w:ascii="Arial Narrow" w:hAnsi="Arial Narrow"/>
              <w:noProof/>
              <w:sz w:val="20"/>
              <w:szCs w:val="20"/>
            </w:rPr>
            <w:t>1</w:t>
          </w:r>
          <w:r w:rsidRPr="00C00E9A">
            <w:rPr>
              <w:rStyle w:val="slostrnky"/>
              <w:rFonts w:ascii="Arial Narrow" w:hAnsi="Arial Narrow"/>
              <w:sz w:val="20"/>
              <w:szCs w:val="20"/>
            </w:rPr>
            <w:fldChar w:fldCharType="end"/>
          </w:r>
          <w:r w:rsidRPr="00C00E9A">
            <w:rPr>
              <w:rStyle w:val="slostrnky"/>
              <w:rFonts w:ascii="Arial Narrow" w:hAnsi="Arial Narrow"/>
              <w:sz w:val="20"/>
              <w:szCs w:val="20"/>
            </w:rPr>
            <w:t xml:space="preserve"> - </w:t>
          </w:r>
          <w:r w:rsidRPr="00C00E9A">
            <w:rPr>
              <w:rStyle w:val="slostrnky"/>
              <w:rFonts w:ascii="Arial Narrow" w:hAnsi="Arial Narrow"/>
              <w:sz w:val="20"/>
              <w:szCs w:val="20"/>
            </w:rPr>
            <w:fldChar w:fldCharType="begin"/>
          </w:r>
          <w:r w:rsidRPr="00C00E9A">
            <w:rPr>
              <w:rStyle w:val="slostrnky"/>
              <w:rFonts w:ascii="Arial Narrow" w:hAnsi="Arial Narrow"/>
              <w:sz w:val="20"/>
              <w:szCs w:val="20"/>
            </w:rPr>
            <w:instrText xml:space="preserve"> NUMPAGES </w:instrText>
          </w:r>
          <w:r w:rsidRPr="00C00E9A">
            <w:rPr>
              <w:rStyle w:val="slostrnky"/>
              <w:rFonts w:ascii="Arial Narrow" w:hAnsi="Arial Narrow"/>
              <w:sz w:val="20"/>
              <w:szCs w:val="20"/>
            </w:rPr>
            <w:fldChar w:fldCharType="separate"/>
          </w:r>
          <w:r w:rsidR="00FB0916">
            <w:rPr>
              <w:rStyle w:val="slostrnky"/>
              <w:rFonts w:ascii="Arial Narrow" w:hAnsi="Arial Narrow"/>
              <w:noProof/>
              <w:sz w:val="20"/>
              <w:szCs w:val="20"/>
            </w:rPr>
            <w:t>6</w:t>
          </w:r>
          <w:r w:rsidRPr="00C00E9A">
            <w:rPr>
              <w:rStyle w:val="slostrnky"/>
              <w:rFonts w:ascii="Arial Narrow" w:hAnsi="Arial Narrow"/>
              <w:sz w:val="20"/>
              <w:szCs w:val="20"/>
            </w:rPr>
            <w:fldChar w:fldCharType="end"/>
          </w:r>
        </w:p>
      </w:tc>
    </w:tr>
  </w:tbl>
  <w:p w:rsidR="006779FA" w:rsidRDefault="006779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9FA" w:rsidRDefault="006779FA">
      <w:r>
        <w:separator/>
      </w:r>
    </w:p>
  </w:footnote>
  <w:footnote w:type="continuationSeparator" w:id="0">
    <w:p w:rsidR="006779FA" w:rsidRDefault="00677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9FA" w:rsidRDefault="006779FA" w:rsidP="006B046B">
    <w:pPr>
      <w:pStyle w:val="Zhlav"/>
    </w:pPr>
    <w:r>
      <w:object w:dxaOrig="6130"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36.75pt" o:ole="">
          <v:imagedata r:id="rId1" o:title=""/>
        </v:shape>
        <o:OLEObject Type="Embed" ProgID="CorelDRAW.Graphic.12" ShapeID="_x0000_i1025" DrawAspect="Content" ObjectID="_1735717032" r:id="rId2"/>
      </w:object>
    </w:r>
  </w:p>
  <w:p w:rsidR="006779FA" w:rsidRDefault="006779F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9FA" w:rsidRDefault="006779FA" w:rsidP="00082EC8">
    <w:pPr>
      <w:pStyle w:val="Zhlav"/>
    </w:pPr>
    <w:r>
      <w:object w:dxaOrig="6130"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9.5pt;height:36.75pt" o:ole="">
          <v:imagedata r:id="rId1" o:title=""/>
        </v:shape>
        <o:OLEObject Type="Embed" ProgID="CorelDRAW.Graphic.12" ShapeID="_x0000_i1026" DrawAspect="Content" ObjectID="_1735717033" r:id="rId2"/>
      </w:object>
    </w:r>
  </w:p>
  <w:p w:rsidR="006779FA" w:rsidRDefault="006779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72216FA"/>
    <w:lvl w:ilvl="0">
      <w:start w:val="1"/>
      <w:numFmt w:val="decimal"/>
      <w:pStyle w:val="Nadpis1"/>
      <w:lvlText w:val="%1."/>
      <w:lvlJc w:val="left"/>
      <w:pPr>
        <w:tabs>
          <w:tab w:val="num" w:pos="360"/>
        </w:tabs>
        <w:ind w:left="360" w:hanging="360"/>
      </w:pPr>
      <w:rPr>
        <w:rFonts w:cs="Times New Roman"/>
      </w:rPr>
    </w:lvl>
  </w:abstractNum>
  <w:abstractNum w:abstractNumId="1" w15:restartNumberingAfterBreak="0">
    <w:nsid w:val="FFFFFFFE"/>
    <w:multiLevelType w:val="singleLevel"/>
    <w:tmpl w:val="FB544FBA"/>
    <w:lvl w:ilvl="0">
      <w:numFmt w:val="bullet"/>
      <w:lvlText w:val="*"/>
      <w:lvlJc w:val="left"/>
    </w:lvl>
  </w:abstractNum>
  <w:abstractNum w:abstractNumId="2" w15:restartNumberingAfterBreak="0">
    <w:nsid w:val="00000003"/>
    <w:multiLevelType w:val="singleLevel"/>
    <w:tmpl w:val="00000003"/>
    <w:name w:val="Outline"/>
    <w:lvl w:ilvl="0">
      <w:numFmt w:val="bullet"/>
      <w:lvlText w:val="-"/>
      <w:lvlJc w:val="left"/>
      <w:pPr>
        <w:tabs>
          <w:tab w:val="num" w:pos="1068"/>
        </w:tabs>
      </w:pPr>
      <w:rPr>
        <w:rFonts w:ascii="Times New Roman" w:hAnsi="Times New Roman"/>
        <w:b/>
      </w:rPr>
    </w:lvl>
  </w:abstractNum>
  <w:abstractNum w:abstractNumId="3" w15:restartNumberingAfterBreak="0">
    <w:nsid w:val="105D0340"/>
    <w:multiLevelType w:val="hybridMultilevel"/>
    <w:tmpl w:val="7A744C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EB310C"/>
    <w:multiLevelType w:val="hybridMultilevel"/>
    <w:tmpl w:val="CE4AA5AE"/>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092893"/>
    <w:multiLevelType w:val="hybridMultilevel"/>
    <w:tmpl w:val="A4D27D36"/>
    <w:name w:val="WW8Num3"/>
    <w:lvl w:ilvl="0" w:tplc="AD8C6864">
      <w:numFmt w:val="bullet"/>
      <w:lvlText w:val="-"/>
      <w:lvlJc w:val="left"/>
      <w:pPr>
        <w:tabs>
          <w:tab w:val="num" w:pos="360"/>
        </w:tabs>
      </w:pPr>
      <w:rPr>
        <w:rFonts w:ascii="Times New Roman" w:hAnsi="Times New Roman" w:hint="default"/>
        <w:b/>
        <w:i w:val="0"/>
      </w:rPr>
    </w:lvl>
    <w:lvl w:ilvl="1" w:tplc="4E601E78">
      <w:start w:val="1"/>
      <w:numFmt w:val="decimal"/>
      <w:lvlText w:val="%2."/>
      <w:lvlJc w:val="left"/>
      <w:pPr>
        <w:tabs>
          <w:tab w:val="num" w:pos="1440"/>
        </w:tabs>
        <w:ind w:left="1440" w:hanging="360"/>
      </w:pPr>
      <w:rPr>
        <w:rFonts w:cs="Times New Roman"/>
      </w:rPr>
    </w:lvl>
    <w:lvl w:ilvl="2" w:tplc="3288E2C4">
      <w:start w:val="1"/>
      <w:numFmt w:val="decimal"/>
      <w:lvlText w:val="%3."/>
      <w:lvlJc w:val="left"/>
      <w:pPr>
        <w:tabs>
          <w:tab w:val="num" w:pos="2160"/>
        </w:tabs>
        <w:ind w:left="2160" w:hanging="360"/>
      </w:pPr>
      <w:rPr>
        <w:rFonts w:cs="Times New Roman"/>
      </w:rPr>
    </w:lvl>
    <w:lvl w:ilvl="3" w:tplc="1E3684B8">
      <w:start w:val="1"/>
      <w:numFmt w:val="decimal"/>
      <w:lvlText w:val="%4."/>
      <w:lvlJc w:val="left"/>
      <w:pPr>
        <w:tabs>
          <w:tab w:val="num" w:pos="2880"/>
        </w:tabs>
        <w:ind w:left="2880" w:hanging="360"/>
      </w:pPr>
      <w:rPr>
        <w:rFonts w:cs="Times New Roman"/>
      </w:rPr>
    </w:lvl>
    <w:lvl w:ilvl="4" w:tplc="F1A02198">
      <w:start w:val="1"/>
      <w:numFmt w:val="decimal"/>
      <w:lvlText w:val="%5."/>
      <w:lvlJc w:val="left"/>
      <w:pPr>
        <w:tabs>
          <w:tab w:val="num" w:pos="3600"/>
        </w:tabs>
        <w:ind w:left="3600" w:hanging="360"/>
      </w:pPr>
      <w:rPr>
        <w:rFonts w:cs="Times New Roman"/>
      </w:rPr>
    </w:lvl>
    <w:lvl w:ilvl="5" w:tplc="27DC7D9A">
      <w:start w:val="1"/>
      <w:numFmt w:val="decimal"/>
      <w:lvlText w:val="%6."/>
      <w:lvlJc w:val="left"/>
      <w:pPr>
        <w:tabs>
          <w:tab w:val="num" w:pos="4320"/>
        </w:tabs>
        <w:ind w:left="4320" w:hanging="360"/>
      </w:pPr>
      <w:rPr>
        <w:rFonts w:cs="Times New Roman"/>
      </w:rPr>
    </w:lvl>
    <w:lvl w:ilvl="6" w:tplc="1020E780">
      <w:start w:val="1"/>
      <w:numFmt w:val="decimal"/>
      <w:lvlText w:val="%7."/>
      <w:lvlJc w:val="left"/>
      <w:pPr>
        <w:tabs>
          <w:tab w:val="num" w:pos="5040"/>
        </w:tabs>
        <w:ind w:left="5040" w:hanging="360"/>
      </w:pPr>
      <w:rPr>
        <w:rFonts w:cs="Times New Roman"/>
      </w:rPr>
    </w:lvl>
    <w:lvl w:ilvl="7" w:tplc="CB7A91FA">
      <w:start w:val="1"/>
      <w:numFmt w:val="decimal"/>
      <w:lvlText w:val="%8."/>
      <w:lvlJc w:val="left"/>
      <w:pPr>
        <w:tabs>
          <w:tab w:val="num" w:pos="5760"/>
        </w:tabs>
        <w:ind w:left="5760" w:hanging="360"/>
      </w:pPr>
      <w:rPr>
        <w:rFonts w:cs="Times New Roman"/>
      </w:rPr>
    </w:lvl>
    <w:lvl w:ilvl="8" w:tplc="ACB66F5E">
      <w:start w:val="1"/>
      <w:numFmt w:val="decimal"/>
      <w:lvlText w:val="%9."/>
      <w:lvlJc w:val="left"/>
      <w:pPr>
        <w:tabs>
          <w:tab w:val="num" w:pos="6480"/>
        </w:tabs>
        <w:ind w:left="6480" w:hanging="360"/>
      </w:pPr>
      <w:rPr>
        <w:rFonts w:cs="Times New Roman"/>
      </w:rPr>
    </w:lvl>
  </w:abstractNum>
  <w:abstractNum w:abstractNumId="6" w15:restartNumberingAfterBreak="0">
    <w:nsid w:val="16A74BCB"/>
    <w:multiLevelType w:val="hybridMultilevel"/>
    <w:tmpl w:val="6FDA90BE"/>
    <w:lvl w:ilvl="0" w:tplc="89588A22">
      <w:start w:val="1"/>
      <w:numFmt w:val="decimal"/>
      <w:pStyle w:val="slovanseznam"/>
      <w:lvlText w:val="%1."/>
      <w:lvlJc w:val="left"/>
      <w:pPr>
        <w:tabs>
          <w:tab w:val="num" w:pos="360"/>
        </w:tabs>
        <w:ind w:left="36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2A6E70B6"/>
    <w:multiLevelType w:val="hybridMultilevel"/>
    <w:tmpl w:val="A8B81BD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2C770CFB"/>
    <w:multiLevelType w:val="hybridMultilevel"/>
    <w:tmpl w:val="6C8EFE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A81B23"/>
    <w:multiLevelType w:val="hybridMultilevel"/>
    <w:tmpl w:val="AD24D0E4"/>
    <w:lvl w:ilvl="0" w:tplc="11EE576E">
      <w:start w:val="1"/>
      <w:numFmt w:val="bullet"/>
      <w:lvlText w:val=""/>
      <w:lvlJc w:val="left"/>
      <w:pPr>
        <w:tabs>
          <w:tab w:val="num" w:pos="1425"/>
        </w:tabs>
        <w:ind w:left="1425" w:hanging="360"/>
      </w:pPr>
      <w:rPr>
        <w:rFonts w:ascii="Symbol" w:hAnsi="Symbol" w:hint="default"/>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0" w15:restartNumberingAfterBreak="0">
    <w:nsid w:val="459D63FD"/>
    <w:multiLevelType w:val="multilevel"/>
    <w:tmpl w:val="4666046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1" w15:restartNumberingAfterBreak="0">
    <w:nsid w:val="49CD0B2B"/>
    <w:multiLevelType w:val="singleLevel"/>
    <w:tmpl w:val="3684AFCA"/>
    <w:lvl w:ilvl="0">
      <w:start w:val="1"/>
      <w:numFmt w:val="decimal"/>
      <w:lvlText w:val="%1."/>
      <w:legacy w:legacy="1" w:legacySpace="120" w:legacyIndent="360"/>
      <w:lvlJc w:val="left"/>
      <w:pPr>
        <w:ind w:left="720" w:hanging="360"/>
      </w:pPr>
      <w:rPr>
        <w:rFonts w:cs="Times New Roman"/>
      </w:rPr>
    </w:lvl>
  </w:abstractNum>
  <w:abstractNum w:abstractNumId="12" w15:restartNumberingAfterBreak="0">
    <w:nsid w:val="4A642B23"/>
    <w:multiLevelType w:val="hybridMultilevel"/>
    <w:tmpl w:val="37A05602"/>
    <w:lvl w:ilvl="0" w:tplc="71986538">
      <w:start w:val="1"/>
      <w:numFmt w:val="decimal"/>
      <w:lvlText w:val="/%1/"/>
      <w:lvlJc w:val="left"/>
      <w:pPr>
        <w:ind w:left="720" w:hanging="360"/>
      </w:pPr>
      <w:rPr>
        <w:rFonts w:cs="Times New Roman" w:hint="default"/>
      </w:rPr>
    </w:lvl>
    <w:lvl w:ilvl="1" w:tplc="7EE6D388" w:tentative="1">
      <w:start w:val="1"/>
      <w:numFmt w:val="lowerLetter"/>
      <w:lvlText w:val="%2."/>
      <w:lvlJc w:val="left"/>
      <w:pPr>
        <w:ind w:left="1440" w:hanging="360"/>
      </w:pPr>
      <w:rPr>
        <w:rFonts w:cs="Times New Roman"/>
      </w:rPr>
    </w:lvl>
    <w:lvl w:ilvl="2" w:tplc="ABE4DEE0" w:tentative="1">
      <w:start w:val="1"/>
      <w:numFmt w:val="lowerRoman"/>
      <w:lvlText w:val="%3."/>
      <w:lvlJc w:val="right"/>
      <w:pPr>
        <w:ind w:left="2160" w:hanging="180"/>
      </w:pPr>
      <w:rPr>
        <w:rFonts w:cs="Times New Roman"/>
      </w:rPr>
    </w:lvl>
    <w:lvl w:ilvl="3" w:tplc="B5B44DDA" w:tentative="1">
      <w:start w:val="1"/>
      <w:numFmt w:val="decimal"/>
      <w:lvlText w:val="%4."/>
      <w:lvlJc w:val="left"/>
      <w:pPr>
        <w:ind w:left="2880" w:hanging="360"/>
      </w:pPr>
      <w:rPr>
        <w:rFonts w:cs="Times New Roman"/>
      </w:rPr>
    </w:lvl>
    <w:lvl w:ilvl="4" w:tplc="0554EA62" w:tentative="1">
      <w:start w:val="1"/>
      <w:numFmt w:val="lowerLetter"/>
      <w:lvlText w:val="%5."/>
      <w:lvlJc w:val="left"/>
      <w:pPr>
        <w:ind w:left="3600" w:hanging="360"/>
      </w:pPr>
      <w:rPr>
        <w:rFonts w:cs="Times New Roman"/>
      </w:rPr>
    </w:lvl>
    <w:lvl w:ilvl="5" w:tplc="6C52F564" w:tentative="1">
      <w:start w:val="1"/>
      <w:numFmt w:val="lowerRoman"/>
      <w:lvlText w:val="%6."/>
      <w:lvlJc w:val="right"/>
      <w:pPr>
        <w:ind w:left="4320" w:hanging="180"/>
      </w:pPr>
      <w:rPr>
        <w:rFonts w:cs="Times New Roman"/>
      </w:rPr>
    </w:lvl>
    <w:lvl w:ilvl="6" w:tplc="8138A0AA" w:tentative="1">
      <w:start w:val="1"/>
      <w:numFmt w:val="decimal"/>
      <w:lvlText w:val="%7."/>
      <w:lvlJc w:val="left"/>
      <w:pPr>
        <w:ind w:left="5040" w:hanging="360"/>
      </w:pPr>
      <w:rPr>
        <w:rFonts w:cs="Times New Roman"/>
      </w:rPr>
    </w:lvl>
    <w:lvl w:ilvl="7" w:tplc="48BE2714" w:tentative="1">
      <w:start w:val="1"/>
      <w:numFmt w:val="lowerLetter"/>
      <w:lvlText w:val="%8."/>
      <w:lvlJc w:val="left"/>
      <w:pPr>
        <w:ind w:left="5760" w:hanging="360"/>
      </w:pPr>
      <w:rPr>
        <w:rFonts w:cs="Times New Roman"/>
      </w:rPr>
    </w:lvl>
    <w:lvl w:ilvl="8" w:tplc="8F7288C0" w:tentative="1">
      <w:start w:val="1"/>
      <w:numFmt w:val="lowerRoman"/>
      <w:lvlText w:val="%9."/>
      <w:lvlJc w:val="right"/>
      <w:pPr>
        <w:ind w:left="6480" w:hanging="180"/>
      </w:pPr>
      <w:rPr>
        <w:rFonts w:cs="Times New Roman"/>
      </w:rPr>
    </w:lvl>
  </w:abstractNum>
  <w:abstractNum w:abstractNumId="13" w15:restartNumberingAfterBreak="0">
    <w:nsid w:val="5AB5293F"/>
    <w:multiLevelType w:val="hybridMultilevel"/>
    <w:tmpl w:val="9184E0F8"/>
    <w:lvl w:ilvl="0" w:tplc="A914011A">
      <w:start w:val="3"/>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9B222C"/>
    <w:multiLevelType w:val="multilevel"/>
    <w:tmpl w:val="A9605E1E"/>
    <w:lvl w:ilvl="0">
      <w:start w:val="3"/>
      <w:numFmt w:val="upperRoman"/>
      <w:lvlText w:val=""/>
      <w:lvlJc w:val="left"/>
      <w:pPr>
        <w:tabs>
          <w:tab w:val="num" w:pos="360"/>
        </w:tabs>
        <w:ind w:left="360" w:hanging="360"/>
      </w:pPr>
      <w:rPr>
        <w:rFonts w:cs="Times New Roman" w:hint="default"/>
        <w:b/>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693C6029"/>
    <w:multiLevelType w:val="hybridMultilevel"/>
    <w:tmpl w:val="C0527FA0"/>
    <w:lvl w:ilvl="0" w:tplc="4A8EB786">
      <w:start w:val="1"/>
      <w:numFmt w:val="bullet"/>
      <w:lvlText w:val=""/>
      <w:lvlJc w:val="left"/>
      <w:pPr>
        <w:ind w:left="1428" w:hanging="360"/>
      </w:pPr>
      <w:rPr>
        <w:rFonts w:ascii="Symbol" w:hAnsi="Symbol" w:hint="default"/>
      </w:rPr>
    </w:lvl>
    <w:lvl w:ilvl="1" w:tplc="2280F15C" w:tentative="1">
      <w:start w:val="1"/>
      <w:numFmt w:val="bullet"/>
      <w:lvlText w:val="o"/>
      <w:lvlJc w:val="left"/>
      <w:pPr>
        <w:ind w:left="2148" w:hanging="360"/>
      </w:pPr>
      <w:rPr>
        <w:rFonts w:ascii="Courier New" w:hAnsi="Courier New" w:hint="default"/>
      </w:rPr>
    </w:lvl>
    <w:lvl w:ilvl="2" w:tplc="FE54868A" w:tentative="1">
      <w:start w:val="1"/>
      <w:numFmt w:val="bullet"/>
      <w:lvlText w:val=""/>
      <w:lvlJc w:val="left"/>
      <w:pPr>
        <w:ind w:left="2868" w:hanging="360"/>
      </w:pPr>
      <w:rPr>
        <w:rFonts w:ascii="Wingdings" w:hAnsi="Wingdings" w:hint="default"/>
      </w:rPr>
    </w:lvl>
    <w:lvl w:ilvl="3" w:tplc="F672F952" w:tentative="1">
      <w:start w:val="1"/>
      <w:numFmt w:val="bullet"/>
      <w:lvlText w:val=""/>
      <w:lvlJc w:val="left"/>
      <w:pPr>
        <w:ind w:left="3588" w:hanging="360"/>
      </w:pPr>
      <w:rPr>
        <w:rFonts w:ascii="Symbol" w:hAnsi="Symbol" w:hint="default"/>
      </w:rPr>
    </w:lvl>
    <w:lvl w:ilvl="4" w:tplc="3FBC9314" w:tentative="1">
      <w:start w:val="1"/>
      <w:numFmt w:val="bullet"/>
      <w:lvlText w:val="o"/>
      <w:lvlJc w:val="left"/>
      <w:pPr>
        <w:ind w:left="4308" w:hanging="360"/>
      </w:pPr>
      <w:rPr>
        <w:rFonts w:ascii="Courier New" w:hAnsi="Courier New" w:hint="default"/>
      </w:rPr>
    </w:lvl>
    <w:lvl w:ilvl="5" w:tplc="DC147660" w:tentative="1">
      <w:start w:val="1"/>
      <w:numFmt w:val="bullet"/>
      <w:lvlText w:val=""/>
      <w:lvlJc w:val="left"/>
      <w:pPr>
        <w:ind w:left="5028" w:hanging="360"/>
      </w:pPr>
      <w:rPr>
        <w:rFonts w:ascii="Wingdings" w:hAnsi="Wingdings" w:hint="default"/>
      </w:rPr>
    </w:lvl>
    <w:lvl w:ilvl="6" w:tplc="DD4AE332" w:tentative="1">
      <w:start w:val="1"/>
      <w:numFmt w:val="bullet"/>
      <w:lvlText w:val=""/>
      <w:lvlJc w:val="left"/>
      <w:pPr>
        <w:ind w:left="5748" w:hanging="360"/>
      </w:pPr>
      <w:rPr>
        <w:rFonts w:ascii="Symbol" w:hAnsi="Symbol" w:hint="default"/>
      </w:rPr>
    </w:lvl>
    <w:lvl w:ilvl="7" w:tplc="774E8286" w:tentative="1">
      <w:start w:val="1"/>
      <w:numFmt w:val="bullet"/>
      <w:lvlText w:val="o"/>
      <w:lvlJc w:val="left"/>
      <w:pPr>
        <w:ind w:left="6468" w:hanging="360"/>
      </w:pPr>
      <w:rPr>
        <w:rFonts w:ascii="Courier New" w:hAnsi="Courier New" w:hint="default"/>
      </w:rPr>
    </w:lvl>
    <w:lvl w:ilvl="8" w:tplc="C36EE9B2" w:tentative="1">
      <w:start w:val="1"/>
      <w:numFmt w:val="bullet"/>
      <w:lvlText w:val=""/>
      <w:lvlJc w:val="left"/>
      <w:pPr>
        <w:ind w:left="7188" w:hanging="360"/>
      </w:pPr>
      <w:rPr>
        <w:rFonts w:ascii="Wingdings" w:hAnsi="Wingdings" w:hint="default"/>
      </w:rPr>
    </w:lvl>
  </w:abstractNum>
  <w:abstractNum w:abstractNumId="16" w15:restartNumberingAfterBreak="0">
    <w:nsid w:val="6A494061"/>
    <w:multiLevelType w:val="hybridMultilevel"/>
    <w:tmpl w:val="16784010"/>
    <w:lvl w:ilvl="0" w:tplc="04050001">
      <w:numFmt w:val="bullet"/>
      <w:lvlText w:val="-"/>
      <w:lvlJc w:val="left"/>
      <w:pPr>
        <w:tabs>
          <w:tab w:val="num" w:pos="360"/>
        </w:tabs>
      </w:pPr>
      <w:rPr>
        <w:rFonts w:ascii="Times New Roman" w:hAnsi="Times New Roman" w:hint="default"/>
        <w:b/>
        <w:i w:val="0"/>
      </w:rPr>
    </w:lvl>
    <w:lvl w:ilvl="1" w:tplc="04050003">
      <w:start w:val="1"/>
      <w:numFmt w:val="decimal"/>
      <w:lvlText w:val="%2."/>
      <w:lvlJc w:val="left"/>
      <w:pPr>
        <w:tabs>
          <w:tab w:val="num" w:pos="1440"/>
        </w:tabs>
        <w:ind w:left="1440" w:hanging="360"/>
      </w:pPr>
      <w:rPr>
        <w:rFonts w:cs="Times New Roman"/>
      </w:rPr>
    </w:lvl>
    <w:lvl w:ilvl="2" w:tplc="04050005">
      <w:start w:val="1"/>
      <w:numFmt w:val="lowerLetter"/>
      <w:lvlText w:val="%3."/>
      <w:lvlJc w:val="left"/>
      <w:pPr>
        <w:tabs>
          <w:tab w:val="num" w:pos="2160"/>
        </w:tabs>
        <w:ind w:left="2160" w:hanging="360"/>
      </w:pPr>
      <w:rPr>
        <w:rFonts w:cs="Times New Roman"/>
      </w:rPr>
    </w:lvl>
    <w:lvl w:ilvl="3" w:tplc="04050001">
      <w:start w:val="1"/>
      <w:numFmt w:val="lowerLetter"/>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7" w15:restartNumberingAfterBreak="0">
    <w:nsid w:val="6BF972D2"/>
    <w:multiLevelType w:val="hybridMultilevel"/>
    <w:tmpl w:val="8E221042"/>
    <w:lvl w:ilvl="0" w:tplc="89588A22">
      <w:start w:val="1"/>
      <w:numFmt w:val="decimal"/>
      <w:lvlText w:val="%1."/>
      <w:lvlJc w:val="left"/>
      <w:pPr>
        <w:ind w:left="720" w:hanging="360"/>
      </w:pPr>
      <w:rPr>
        <w:rFonts w:cs="Times New Roman" w:hint="default"/>
      </w:rPr>
    </w:lvl>
    <w:lvl w:ilvl="1" w:tplc="0405000F" w:tentative="1">
      <w:start w:val="1"/>
      <w:numFmt w:val="lowerLetter"/>
      <w:lvlText w:val="%2."/>
      <w:lvlJc w:val="left"/>
      <w:pPr>
        <w:ind w:left="1440" w:hanging="360"/>
      </w:pPr>
      <w:rPr>
        <w:rFonts w:cs="Times New Roman"/>
      </w:rPr>
    </w:lvl>
    <w:lvl w:ilvl="2" w:tplc="D576B07C" w:tentative="1">
      <w:start w:val="1"/>
      <w:numFmt w:val="lowerRoman"/>
      <w:lvlText w:val="%3."/>
      <w:lvlJc w:val="right"/>
      <w:pPr>
        <w:ind w:left="2160" w:hanging="180"/>
      </w:pPr>
      <w:rPr>
        <w:rFonts w:cs="Times New Roman"/>
      </w:rPr>
    </w:lvl>
    <w:lvl w:ilvl="3" w:tplc="2F2E4CD8"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18" w15:restartNumberingAfterBreak="0">
    <w:nsid w:val="78AB0D14"/>
    <w:multiLevelType w:val="hybridMultilevel"/>
    <w:tmpl w:val="C6F0A024"/>
    <w:lvl w:ilvl="0" w:tplc="14D8FFCA">
      <w:start w:val="1"/>
      <w:numFmt w:val="decimal"/>
      <w:lvlText w:val="[%1]"/>
      <w:lvlJc w:val="left"/>
      <w:pPr>
        <w:tabs>
          <w:tab w:val="num" w:pos="1429"/>
        </w:tabs>
        <w:ind w:left="1429" w:hanging="360"/>
      </w:pPr>
      <w:rPr>
        <w:rFonts w:cs="Times New Roman" w:hint="default"/>
      </w:rPr>
    </w:lvl>
    <w:lvl w:ilvl="1" w:tplc="04050019" w:tentative="1">
      <w:start w:val="1"/>
      <w:numFmt w:val="lowerLetter"/>
      <w:lvlText w:val="%2."/>
      <w:lvlJc w:val="left"/>
      <w:pPr>
        <w:tabs>
          <w:tab w:val="num" w:pos="2149"/>
        </w:tabs>
        <w:ind w:left="2149" w:hanging="360"/>
      </w:pPr>
      <w:rPr>
        <w:rFonts w:cs="Times New Roman"/>
      </w:rPr>
    </w:lvl>
    <w:lvl w:ilvl="2" w:tplc="0405001B" w:tentative="1">
      <w:start w:val="1"/>
      <w:numFmt w:val="lowerRoman"/>
      <w:lvlText w:val="%3."/>
      <w:lvlJc w:val="right"/>
      <w:pPr>
        <w:tabs>
          <w:tab w:val="num" w:pos="2869"/>
        </w:tabs>
        <w:ind w:left="2869" w:hanging="180"/>
      </w:pPr>
      <w:rPr>
        <w:rFonts w:cs="Times New Roman"/>
      </w:rPr>
    </w:lvl>
    <w:lvl w:ilvl="3" w:tplc="0405000F" w:tentative="1">
      <w:start w:val="1"/>
      <w:numFmt w:val="decimal"/>
      <w:lvlText w:val="%4."/>
      <w:lvlJc w:val="left"/>
      <w:pPr>
        <w:tabs>
          <w:tab w:val="num" w:pos="3589"/>
        </w:tabs>
        <w:ind w:left="3589" w:hanging="360"/>
      </w:pPr>
      <w:rPr>
        <w:rFonts w:cs="Times New Roman"/>
      </w:rPr>
    </w:lvl>
    <w:lvl w:ilvl="4" w:tplc="04050019" w:tentative="1">
      <w:start w:val="1"/>
      <w:numFmt w:val="lowerLetter"/>
      <w:lvlText w:val="%5."/>
      <w:lvlJc w:val="left"/>
      <w:pPr>
        <w:tabs>
          <w:tab w:val="num" w:pos="4309"/>
        </w:tabs>
        <w:ind w:left="4309" w:hanging="360"/>
      </w:pPr>
      <w:rPr>
        <w:rFonts w:cs="Times New Roman"/>
      </w:rPr>
    </w:lvl>
    <w:lvl w:ilvl="5" w:tplc="0405001B" w:tentative="1">
      <w:start w:val="1"/>
      <w:numFmt w:val="lowerRoman"/>
      <w:lvlText w:val="%6."/>
      <w:lvlJc w:val="right"/>
      <w:pPr>
        <w:tabs>
          <w:tab w:val="num" w:pos="5029"/>
        </w:tabs>
        <w:ind w:left="5029" w:hanging="180"/>
      </w:pPr>
      <w:rPr>
        <w:rFonts w:cs="Times New Roman"/>
      </w:rPr>
    </w:lvl>
    <w:lvl w:ilvl="6" w:tplc="0405000F" w:tentative="1">
      <w:start w:val="1"/>
      <w:numFmt w:val="decimal"/>
      <w:lvlText w:val="%7."/>
      <w:lvlJc w:val="left"/>
      <w:pPr>
        <w:tabs>
          <w:tab w:val="num" w:pos="5749"/>
        </w:tabs>
        <w:ind w:left="5749" w:hanging="360"/>
      </w:pPr>
      <w:rPr>
        <w:rFonts w:cs="Times New Roman"/>
      </w:rPr>
    </w:lvl>
    <w:lvl w:ilvl="7" w:tplc="04050019" w:tentative="1">
      <w:start w:val="1"/>
      <w:numFmt w:val="lowerLetter"/>
      <w:lvlText w:val="%8."/>
      <w:lvlJc w:val="left"/>
      <w:pPr>
        <w:tabs>
          <w:tab w:val="num" w:pos="6469"/>
        </w:tabs>
        <w:ind w:left="6469" w:hanging="360"/>
      </w:pPr>
      <w:rPr>
        <w:rFonts w:cs="Times New Roman"/>
      </w:rPr>
    </w:lvl>
    <w:lvl w:ilvl="8" w:tplc="0405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0"/>
  </w:num>
  <w:num w:numId="3">
    <w:abstractNumId w:val="0"/>
  </w:num>
  <w:num w:numId="4">
    <w:abstractNumId w:val="0"/>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7"/>
  </w:num>
  <w:num w:numId="15">
    <w:abstractNumId w:val="15"/>
  </w:num>
  <w:num w:numId="16">
    <w:abstractNumId w:val="6"/>
  </w:num>
  <w:num w:numId="17">
    <w:abstractNumId w:val="17"/>
  </w:num>
  <w:num w:numId="18">
    <w:abstractNumId w:val="11"/>
  </w:num>
  <w:num w:numId="19">
    <w:abstractNumId w:val="2"/>
  </w:num>
  <w:num w:numId="20">
    <w:abstractNumId w:val="1"/>
    <w:lvlOverride w:ilvl="0">
      <w:lvl w:ilvl="0">
        <w:start w:val="1"/>
        <w:numFmt w:val="bullet"/>
        <w:lvlText w:val=""/>
        <w:legacy w:legacy="1" w:legacySpace="0" w:legacyIndent="57"/>
        <w:lvlJc w:val="left"/>
        <w:pPr>
          <w:ind w:left="2937" w:hanging="57"/>
        </w:pPr>
        <w:rPr>
          <w:rFonts w:ascii="Symbol" w:hAnsi="Symbol" w:hint="default"/>
        </w:rPr>
      </w:lvl>
    </w:lvlOverride>
  </w:num>
  <w:num w:numId="21">
    <w:abstractNumId w:val="14"/>
  </w:num>
  <w:num w:numId="22">
    <w:abstractNumId w:val="18"/>
  </w:num>
  <w:num w:numId="23">
    <w:abstractNumId w:val="4"/>
  </w:num>
  <w:num w:numId="24">
    <w:abstractNumId w:val="3"/>
  </w:num>
  <w:num w:numId="25">
    <w:abstractNumId w:val="1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457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5F1"/>
    <w:rsid w:val="00010231"/>
    <w:rsid w:val="00013B2A"/>
    <w:rsid w:val="00022190"/>
    <w:rsid w:val="0002260D"/>
    <w:rsid w:val="00032B24"/>
    <w:rsid w:val="00033032"/>
    <w:rsid w:val="00062D65"/>
    <w:rsid w:val="0006544E"/>
    <w:rsid w:val="00074F4F"/>
    <w:rsid w:val="00082EC8"/>
    <w:rsid w:val="00083B5A"/>
    <w:rsid w:val="00090DC5"/>
    <w:rsid w:val="000A0D66"/>
    <w:rsid w:val="000A2D86"/>
    <w:rsid w:val="000E7A85"/>
    <w:rsid w:val="00111A67"/>
    <w:rsid w:val="00146318"/>
    <w:rsid w:val="001620F1"/>
    <w:rsid w:val="00165C24"/>
    <w:rsid w:val="00176460"/>
    <w:rsid w:val="001823E5"/>
    <w:rsid w:val="001857B8"/>
    <w:rsid w:val="00194248"/>
    <w:rsid w:val="001A03F1"/>
    <w:rsid w:val="001A5545"/>
    <w:rsid w:val="001D3D3F"/>
    <w:rsid w:val="001D6790"/>
    <w:rsid w:val="001E5B07"/>
    <w:rsid w:val="00224F1C"/>
    <w:rsid w:val="002308C6"/>
    <w:rsid w:val="00247F58"/>
    <w:rsid w:val="00265683"/>
    <w:rsid w:val="00285D8F"/>
    <w:rsid w:val="002910B1"/>
    <w:rsid w:val="002C004A"/>
    <w:rsid w:val="002F33F6"/>
    <w:rsid w:val="003108E2"/>
    <w:rsid w:val="003151AC"/>
    <w:rsid w:val="00322D2D"/>
    <w:rsid w:val="003244AA"/>
    <w:rsid w:val="00335706"/>
    <w:rsid w:val="00341779"/>
    <w:rsid w:val="00353AF6"/>
    <w:rsid w:val="00356A1C"/>
    <w:rsid w:val="0036641A"/>
    <w:rsid w:val="003738F3"/>
    <w:rsid w:val="003770CF"/>
    <w:rsid w:val="00393A2B"/>
    <w:rsid w:val="00394306"/>
    <w:rsid w:val="00397DB2"/>
    <w:rsid w:val="003B430E"/>
    <w:rsid w:val="003C73CC"/>
    <w:rsid w:val="003D4DEB"/>
    <w:rsid w:val="003E7881"/>
    <w:rsid w:val="0043194B"/>
    <w:rsid w:val="00451D67"/>
    <w:rsid w:val="00452D86"/>
    <w:rsid w:val="00457065"/>
    <w:rsid w:val="00462413"/>
    <w:rsid w:val="00464955"/>
    <w:rsid w:val="00467F77"/>
    <w:rsid w:val="0047561D"/>
    <w:rsid w:val="00493C15"/>
    <w:rsid w:val="00497136"/>
    <w:rsid w:val="004A2D14"/>
    <w:rsid w:val="004C3A8B"/>
    <w:rsid w:val="004C6BEC"/>
    <w:rsid w:val="004D4096"/>
    <w:rsid w:val="004D760A"/>
    <w:rsid w:val="004E051E"/>
    <w:rsid w:val="004F29F9"/>
    <w:rsid w:val="004F335C"/>
    <w:rsid w:val="004F5CFF"/>
    <w:rsid w:val="004F5EEC"/>
    <w:rsid w:val="004F723E"/>
    <w:rsid w:val="004F78C7"/>
    <w:rsid w:val="00501401"/>
    <w:rsid w:val="00521E5A"/>
    <w:rsid w:val="00524772"/>
    <w:rsid w:val="00553D07"/>
    <w:rsid w:val="005600F8"/>
    <w:rsid w:val="00583FA6"/>
    <w:rsid w:val="00590F47"/>
    <w:rsid w:val="005A324D"/>
    <w:rsid w:val="005A42EA"/>
    <w:rsid w:val="005F0224"/>
    <w:rsid w:val="005F7775"/>
    <w:rsid w:val="00621171"/>
    <w:rsid w:val="0063637D"/>
    <w:rsid w:val="0064321D"/>
    <w:rsid w:val="006470EA"/>
    <w:rsid w:val="00650C36"/>
    <w:rsid w:val="00654FC4"/>
    <w:rsid w:val="00660DEC"/>
    <w:rsid w:val="00661633"/>
    <w:rsid w:val="006731E6"/>
    <w:rsid w:val="006779FA"/>
    <w:rsid w:val="00693C14"/>
    <w:rsid w:val="006A229C"/>
    <w:rsid w:val="006A4956"/>
    <w:rsid w:val="006A4BA1"/>
    <w:rsid w:val="006B046B"/>
    <w:rsid w:val="006B2C67"/>
    <w:rsid w:val="006D2FA1"/>
    <w:rsid w:val="006E749D"/>
    <w:rsid w:val="006E7A6A"/>
    <w:rsid w:val="006F5382"/>
    <w:rsid w:val="00701F88"/>
    <w:rsid w:val="0070419D"/>
    <w:rsid w:val="00711EB0"/>
    <w:rsid w:val="007143E2"/>
    <w:rsid w:val="007245DE"/>
    <w:rsid w:val="007310A8"/>
    <w:rsid w:val="00732BA8"/>
    <w:rsid w:val="00735127"/>
    <w:rsid w:val="007423C3"/>
    <w:rsid w:val="007746BD"/>
    <w:rsid w:val="00780084"/>
    <w:rsid w:val="0078651B"/>
    <w:rsid w:val="00790F7F"/>
    <w:rsid w:val="00794A99"/>
    <w:rsid w:val="007A42B7"/>
    <w:rsid w:val="007B702F"/>
    <w:rsid w:val="007E5089"/>
    <w:rsid w:val="007F3614"/>
    <w:rsid w:val="007F6930"/>
    <w:rsid w:val="00807CE6"/>
    <w:rsid w:val="00812934"/>
    <w:rsid w:val="00812CE7"/>
    <w:rsid w:val="00817D43"/>
    <w:rsid w:val="00835251"/>
    <w:rsid w:val="00837CEC"/>
    <w:rsid w:val="0084140C"/>
    <w:rsid w:val="008476B6"/>
    <w:rsid w:val="008536A1"/>
    <w:rsid w:val="00866422"/>
    <w:rsid w:val="008721FF"/>
    <w:rsid w:val="00892215"/>
    <w:rsid w:val="0089423D"/>
    <w:rsid w:val="008B209B"/>
    <w:rsid w:val="008C1885"/>
    <w:rsid w:val="008C2B4C"/>
    <w:rsid w:val="008C631A"/>
    <w:rsid w:val="008D1347"/>
    <w:rsid w:val="008D1778"/>
    <w:rsid w:val="008E18A3"/>
    <w:rsid w:val="008E6751"/>
    <w:rsid w:val="008F0D8B"/>
    <w:rsid w:val="008F3CCE"/>
    <w:rsid w:val="009133BE"/>
    <w:rsid w:val="0092406D"/>
    <w:rsid w:val="00924CEB"/>
    <w:rsid w:val="009412A3"/>
    <w:rsid w:val="00946242"/>
    <w:rsid w:val="0096002B"/>
    <w:rsid w:val="00966008"/>
    <w:rsid w:val="009804B8"/>
    <w:rsid w:val="009A232B"/>
    <w:rsid w:val="009B4F55"/>
    <w:rsid w:val="009C2444"/>
    <w:rsid w:val="009D2C26"/>
    <w:rsid w:val="009D3E66"/>
    <w:rsid w:val="009D7E46"/>
    <w:rsid w:val="00A02AD6"/>
    <w:rsid w:val="00A07967"/>
    <w:rsid w:val="00A27705"/>
    <w:rsid w:val="00A36A90"/>
    <w:rsid w:val="00A36B37"/>
    <w:rsid w:val="00A511A1"/>
    <w:rsid w:val="00A76F4F"/>
    <w:rsid w:val="00A967D4"/>
    <w:rsid w:val="00AC4AF2"/>
    <w:rsid w:val="00AF3B5D"/>
    <w:rsid w:val="00B0132D"/>
    <w:rsid w:val="00B207EC"/>
    <w:rsid w:val="00B409E2"/>
    <w:rsid w:val="00B55366"/>
    <w:rsid w:val="00B65663"/>
    <w:rsid w:val="00B770E7"/>
    <w:rsid w:val="00B96E53"/>
    <w:rsid w:val="00B97FF1"/>
    <w:rsid w:val="00BB56EC"/>
    <w:rsid w:val="00BB7488"/>
    <w:rsid w:val="00BD38BE"/>
    <w:rsid w:val="00BE0472"/>
    <w:rsid w:val="00C00E9A"/>
    <w:rsid w:val="00C031FB"/>
    <w:rsid w:val="00C1056E"/>
    <w:rsid w:val="00C1399D"/>
    <w:rsid w:val="00C34C00"/>
    <w:rsid w:val="00C43296"/>
    <w:rsid w:val="00C535AD"/>
    <w:rsid w:val="00C7669D"/>
    <w:rsid w:val="00CA6B26"/>
    <w:rsid w:val="00CA6D49"/>
    <w:rsid w:val="00CC437D"/>
    <w:rsid w:val="00CC59B4"/>
    <w:rsid w:val="00CE05D9"/>
    <w:rsid w:val="00CF0053"/>
    <w:rsid w:val="00D117E2"/>
    <w:rsid w:val="00D11D26"/>
    <w:rsid w:val="00D225F1"/>
    <w:rsid w:val="00D45B54"/>
    <w:rsid w:val="00D475B0"/>
    <w:rsid w:val="00D607A3"/>
    <w:rsid w:val="00D875E8"/>
    <w:rsid w:val="00D91195"/>
    <w:rsid w:val="00DA29B1"/>
    <w:rsid w:val="00DE5921"/>
    <w:rsid w:val="00DF373A"/>
    <w:rsid w:val="00E105F1"/>
    <w:rsid w:val="00E200AD"/>
    <w:rsid w:val="00E23C4C"/>
    <w:rsid w:val="00E24B5C"/>
    <w:rsid w:val="00E3066E"/>
    <w:rsid w:val="00E5171B"/>
    <w:rsid w:val="00E83A0D"/>
    <w:rsid w:val="00E95B09"/>
    <w:rsid w:val="00EB298D"/>
    <w:rsid w:val="00EB47B8"/>
    <w:rsid w:val="00EC0A60"/>
    <w:rsid w:val="00EC76E7"/>
    <w:rsid w:val="00EE0078"/>
    <w:rsid w:val="00EE3416"/>
    <w:rsid w:val="00EE41CC"/>
    <w:rsid w:val="00EF3E8D"/>
    <w:rsid w:val="00EF6E36"/>
    <w:rsid w:val="00F1067E"/>
    <w:rsid w:val="00F24B4A"/>
    <w:rsid w:val="00F25532"/>
    <w:rsid w:val="00F3453B"/>
    <w:rsid w:val="00F37DC9"/>
    <w:rsid w:val="00F45ED6"/>
    <w:rsid w:val="00F5423A"/>
    <w:rsid w:val="00F57611"/>
    <w:rsid w:val="00F92FEA"/>
    <w:rsid w:val="00FA542F"/>
    <w:rsid w:val="00FB0916"/>
    <w:rsid w:val="00FB1E20"/>
    <w:rsid w:val="00FC23FB"/>
    <w:rsid w:val="00FC5A6A"/>
    <w:rsid w:val="00FE19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9"/>
    <o:shapelayout v:ext="edit">
      <o:idmap v:ext="edit" data="1"/>
    </o:shapelayout>
  </w:shapeDefaults>
  <w:decimalSymbol w:val=","/>
  <w:listSeparator w:val=";"/>
  <w15:docId w15:val="{FB54EBDA-9530-409C-B6E7-BD2BAC41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4DEB"/>
    <w:rPr>
      <w:sz w:val="24"/>
      <w:szCs w:val="24"/>
    </w:rPr>
  </w:style>
  <w:style w:type="paragraph" w:styleId="Nadpis1">
    <w:name w:val="heading 1"/>
    <w:basedOn w:val="Normln"/>
    <w:next w:val="Normln"/>
    <w:link w:val="Nadpis1Char"/>
    <w:uiPriority w:val="99"/>
    <w:qFormat/>
    <w:rsid w:val="00892215"/>
    <w:pPr>
      <w:keepNext/>
      <w:numPr>
        <w:numId w:val="3"/>
      </w:numPr>
      <w:spacing w:before="240" w:after="60"/>
      <w:ind w:left="0" w:firstLine="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5600F8"/>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B770E7"/>
    <w:pPr>
      <w:keepNext/>
      <w:tabs>
        <w:tab w:val="num" w:pos="0"/>
      </w:tabs>
      <w:suppressAutoHyphens/>
      <w:overflowPunct w:val="0"/>
      <w:autoSpaceDE w:val="0"/>
      <w:outlineLvl w:val="2"/>
    </w:pPr>
    <w:rPr>
      <w:rFonts w:ascii="Arial Narrow" w:hAnsi="Arial Narrow"/>
      <w:bCs/>
      <w:caps/>
      <w:color w:val="000000"/>
      <w:sz w:val="22"/>
      <w:szCs w:val="22"/>
      <w:lang w:eastAsia="ar-SA"/>
    </w:rPr>
  </w:style>
  <w:style w:type="paragraph" w:styleId="Nadpis4">
    <w:name w:val="heading 4"/>
    <w:basedOn w:val="Normln"/>
    <w:next w:val="Normln"/>
    <w:link w:val="Nadpis4Char"/>
    <w:uiPriority w:val="99"/>
    <w:qFormat/>
    <w:rsid w:val="00892215"/>
    <w:pPr>
      <w:keepNext/>
      <w:spacing w:before="240" w:after="60"/>
      <w:outlineLvl w:val="3"/>
    </w:pPr>
    <w:rPr>
      <w:rFonts w:ascii="Arial" w:hAnsi="Arial"/>
      <w:b/>
      <w:szCs w:val="20"/>
    </w:rPr>
  </w:style>
  <w:style w:type="paragraph" w:styleId="Nadpis5">
    <w:name w:val="heading 5"/>
    <w:basedOn w:val="Normln"/>
    <w:next w:val="Normln"/>
    <w:link w:val="Nadpis5Char"/>
    <w:uiPriority w:val="99"/>
    <w:qFormat/>
    <w:rsid w:val="00F5423A"/>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2406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92406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92406D"/>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92406D"/>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92406D"/>
    <w:rPr>
      <w:rFonts w:ascii="Calibri" w:hAnsi="Calibri" w:cs="Times New Roman"/>
      <w:b/>
      <w:bCs/>
      <w:i/>
      <w:iCs/>
      <w:sz w:val="26"/>
      <w:szCs w:val="26"/>
    </w:rPr>
  </w:style>
  <w:style w:type="paragraph" w:styleId="Zhlav">
    <w:name w:val="header"/>
    <w:basedOn w:val="Normln"/>
    <w:link w:val="ZhlavChar"/>
    <w:uiPriority w:val="99"/>
    <w:rsid w:val="00892215"/>
    <w:pPr>
      <w:tabs>
        <w:tab w:val="center" w:pos="4536"/>
        <w:tab w:val="right" w:pos="9072"/>
      </w:tabs>
    </w:pPr>
  </w:style>
  <w:style w:type="character" w:customStyle="1" w:styleId="ZhlavChar">
    <w:name w:val="Záhlaví Char"/>
    <w:basedOn w:val="Standardnpsmoodstavce"/>
    <w:link w:val="Zhlav"/>
    <w:uiPriority w:val="99"/>
    <w:semiHidden/>
    <w:locked/>
    <w:rsid w:val="0092406D"/>
    <w:rPr>
      <w:rFonts w:cs="Times New Roman"/>
      <w:sz w:val="24"/>
      <w:szCs w:val="24"/>
    </w:rPr>
  </w:style>
  <w:style w:type="paragraph" w:styleId="Zpat">
    <w:name w:val="footer"/>
    <w:basedOn w:val="Normln"/>
    <w:link w:val="ZpatChar"/>
    <w:uiPriority w:val="99"/>
    <w:rsid w:val="00892215"/>
    <w:pPr>
      <w:tabs>
        <w:tab w:val="center" w:pos="4536"/>
        <w:tab w:val="right" w:pos="9072"/>
      </w:tabs>
    </w:pPr>
  </w:style>
  <w:style w:type="character" w:customStyle="1" w:styleId="ZpatChar">
    <w:name w:val="Zápatí Char"/>
    <w:basedOn w:val="Standardnpsmoodstavce"/>
    <w:link w:val="Zpat"/>
    <w:uiPriority w:val="99"/>
    <w:semiHidden/>
    <w:locked/>
    <w:rsid w:val="0092406D"/>
    <w:rPr>
      <w:rFonts w:cs="Times New Roman"/>
      <w:sz w:val="24"/>
      <w:szCs w:val="24"/>
    </w:rPr>
  </w:style>
  <w:style w:type="paragraph" w:styleId="Zkladntext">
    <w:name w:val="Body Text"/>
    <w:basedOn w:val="Normln"/>
    <w:link w:val="ZkladntextChar"/>
    <w:uiPriority w:val="99"/>
    <w:rsid w:val="00892215"/>
    <w:pPr>
      <w:jc w:val="both"/>
    </w:pPr>
    <w:rPr>
      <w:szCs w:val="20"/>
    </w:rPr>
  </w:style>
  <w:style w:type="character" w:customStyle="1" w:styleId="ZkladntextChar">
    <w:name w:val="Základní text Char"/>
    <w:basedOn w:val="Standardnpsmoodstavce"/>
    <w:link w:val="Zkladntext"/>
    <w:uiPriority w:val="99"/>
    <w:semiHidden/>
    <w:locked/>
    <w:rsid w:val="0092406D"/>
    <w:rPr>
      <w:rFonts w:cs="Times New Roman"/>
      <w:sz w:val="24"/>
      <w:szCs w:val="24"/>
    </w:rPr>
  </w:style>
  <w:style w:type="paragraph" w:styleId="Zkladntextodsazen">
    <w:name w:val="Body Text Indent"/>
    <w:basedOn w:val="Normln"/>
    <w:link w:val="ZkladntextodsazenChar"/>
    <w:uiPriority w:val="99"/>
    <w:rsid w:val="00892215"/>
    <w:pPr>
      <w:ind w:firstLine="708"/>
      <w:jc w:val="both"/>
    </w:pPr>
    <w:rPr>
      <w:sz w:val="20"/>
      <w:szCs w:val="20"/>
    </w:rPr>
  </w:style>
  <w:style w:type="character" w:customStyle="1" w:styleId="ZkladntextodsazenChar">
    <w:name w:val="Základní text odsazený Char"/>
    <w:basedOn w:val="Standardnpsmoodstavce"/>
    <w:link w:val="Zkladntextodsazen"/>
    <w:uiPriority w:val="99"/>
    <w:semiHidden/>
    <w:locked/>
    <w:rsid w:val="0092406D"/>
    <w:rPr>
      <w:rFonts w:cs="Times New Roman"/>
      <w:sz w:val="24"/>
      <w:szCs w:val="24"/>
    </w:rPr>
  </w:style>
  <w:style w:type="paragraph" w:styleId="Zkladntextodsazen2">
    <w:name w:val="Body Text Indent 2"/>
    <w:basedOn w:val="Normln"/>
    <w:link w:val="Zkladntextodsazen2Char"/>
    <w:uiPriority w:val="99"/>
    <w:rsid w:val="00892215"/>
    <w:pPr>
      <w:spacing w:line="360" w:lineRule="auto"/>
      <w:ind w:firstLine="709"/>
      <w:jc w:val="both"/>
    </w:pPr>
    <w:rPr>
      <w:szCs w:val="20"/>
    </w:rPr>
  </w:style>
  <w:style w:type="character" w:customStyle="1" w:styleId="Zkladntextodsazen2Char">
    <w:name w:val="Základní text odsazený 2 Char"/>
    <w:basedOn w:val="Standardnpsmoodstavce"/>
    <w:link w:val="Zkladntextodsazen2"/>
    <w:uiPriority w:val="99"/>
    <w:semiHidden/>
    <w:locked/>
    <w:rsid w:val="0092406D"/>
    <w:rPr>
      <w:rFonts w:cs="Times New Roman"/>
      <w:sz w:val="24"/>
      <w:szCs w:val="24"/>
    </w:rPr>
  </w:style>
  <w:style w:type="paragraph" w:customStyle="1" w:styleId="BodyText21">
    <w:name w:val="Body Text 21"/>
    <w:basedOn w:val="Normln"/>
    <w:uiPriority w:val="99"/>
    <w:rsid w:val="00892215"/>
    <w:pPr>
      <w:overflowPunct w:val="0"/>
      <w:autoSpaceDE w:val="0"/>
      <w:autoSpaceDN w:val="0"/>
      <w:adjustRightInd w:val="0"/>
      <w:ind w:left="720"/>
      <w:jc w:val="both"/>
    </w:pPr>
    <w:rPr>
      <w:szCs w:val="20"/>
    </w:rPr>
  </w:style>
  <w:style w:type="paragraph" w:customStyle="1" w:styleId="Normlntz">
    <w:name w:val="Normálnítz"/>
    <w:basedOn w:val="Normln"/>
    <w:uiPriority w:val="99"/>
    <w:rsid w:val="00892215"/>
    <w:pPr>
      <w:spacing w:before="120"/>
      <w:jc w:val="both"/>
    </w:pPr>
    <w:rPr>
      <w:rFonts w:ascii="PalmSprings" w:hAnsi="PalmSprings"/>
      <w:szCs w:val="20"/>
    </w:rPr>
  </w:style>
  <w:style w:type="paragraph" w:customStyle="1" w:styleId="nadpis1tz">
    <w:name w:val="nadpis_1tz"/>
    <w:next w:val="Normlntz"/>
    <w:autoRedefine/>
    <w:uiPriority w:val="99"/>
    <w:rsid w:val="00EE41CC"/>
    <w:pPr>
      <w:widowControl w:val="0"/>
      <w:tabs>
        <w:tab w:val="num" w:pos="360"/>
        <w:tab w:val="num" w:pos="432"/>
      </w:tabs>
      <w:suppressAutoHyphens/>
      <w:ind w:left="431" w:hanging="431"/>
      <w:outlineLvl w:val="0"/>
    </w:pPr>
    <w:rPr>
      <w:rFonts w:ascii="Arial Narrow" w:hAnsi="Arial Narrow"/>
      <w:b/>
    </w:rPr>
  </w:style>
  <w:style w:type="paragraph" w:customStyle="1" w:styleId="nadpis4tz">
    <w:name w:val="nadpis_4tz"/>
    <w:next w:val="Normlntz"/>
    <w:autoRedefine/>
    <w:uiPriority w:val="99"/>
    <w:rsid w:val="00892215"/>
    <w:pPr>
      <w:outlineLvl w:val="3"/>
    </w:pPr>
    <w:rPr>
      <w:rFonts w:ascii="Arial Narrow" w:hAnsi="Arial Narrow"/>
      <w:b/>
      <w:szCs w:val="20"/>
    </w:rPr>
  </w:style>
  <w:style w:type="paragraph" w:customStyle="1" w:styleId="nadpis2tz">
    <w:name w:val="nadpis_2tz"/>
    <w:basedOn w:val="Normln"/>
    <w:next w:val="Normlntz"/>
    <w:autoRedefine/>
    <w:uiPriority w:val="99"/>
    <w:rsid w:val="00EE41CC"/>
    <w:pPr>
      <w:numPr>
        <w:ilvl w:val="1"/>
      </w:numPr>
      <w:tabs>
        <w:tab w:val="num" w:pos="576"/>
      </w:tabs>
      <w:ind w:left="576" w:hanging="576"/>
      <w:outlineLvl w:val="1"/>
    </w:pPr>
    <w:rPr>
      <w:rFonts w:ascii="Arial Narrow" w:hAnsi="Arial Narrow"/>
      <w:b/>
      <w:sz w:val="22"/>
      <w:szCs w:val="22"/>
    </w:rPr>
  </w:style>
  <w:style w:type="character" w:customStyle="1" w:styleId="p1name">
    <w:name w:val="p1name"/>
    <w:basedOn w:val="Standardnpsmoodstavce"/>
    <w:uiPriority w:val="99"/>
    <w:rsid w:val="00892215"/>
    <w:rPr>
      <w:rFonts w:cs="Times New Roman"/>
    </w:rPr>
  </w:style>
  <w:style w:type="character" w:customStyle="1" w:styleId="pnname">
    <w:name w:val="pnname"/>
    <w:basedOn w:val="Standardnpsmoodstavce"/>
    <w:uiPriority w:val="99"/>
    <w:rsid w:val="00892215"/>
    <w:rPr>
      <w:rFonts w:cs="Times New Roman"/>
    </w:rPr>
  </w:style>
  <w:style w:type="character" w:styleId="Siln">
    <w:name w:val="Strong"/>
    <w:basedOn w:val="Standardnpsmoodstavce"/>
    <w:uiPriority w:val="99"/>
    <w:qFormat/>
    <w:rsid w:val="00892215"/>
    <w:rPr>
      <w:rFonts w:cs="Times New Roman"/>
      <w:b/>
      <w:bCs/>
    </w:rPr>
  </w:style>
  <w:style w:type="character" w:styleId="Zdraznn">
    <w:name w:val="Emphasis"/>
    <w:basedOn w:val="Standardnpsmoodstavce"/>
    <w:uiPriority w:val="99"/>
    <w:qFormat/>
    <w:rsid w:val="00892215"/>
    <w:rPr>
      <w:rFonts w:cs="Times New Roman"/>
      <w:i/>
      <w:iCs/>
    </w:rPr>
  </w:style>
  <w:style w:type="table" w:styleId="Mkatabulky">
    <w:name w:val="Table Grid"/>
    <w:basedOn w:val="Normlntabulka"/>
    <w:uiPriority w:val="99"/>
    <w:rsid w:val="006B046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B046B"/>
    <w:rPr>
      <w:rFonts w:cs="Times New Roman"/>
    </w:rPr>
  </w:style>
  <w:style w:type="paragraph" w:styleId="Odstavecseseznamem">
    <w:name w:val="List Paragraph"/>
    <w:basedOn w:val="Normln"/>
    <w:uiPriority w:val="99"/>
    <w:qFormat/>
    <w:rsid w:val="004A2D14"/>
    <w:pPr>
      <w:ind w:left="708"/>
    </w:pPr>
    <w:rPr>
      <w:sz w:val="20"/>
      <w:szCs w:val="20"/>
    </w:rPr>
  </w:style>
  <w:style w:type="paragraph" w:customStyle="1" w:styleId="nadpis3tz">
    <w:name w:val="nadpis_3tz"/>
    <w:basedOn w:val="nadpis2tz"/>
    <w:next w:val="Normlntz"/>
    <w:uiPriority w:val="99"/>
    <w:rsid w:val="00FB1E20"/>
    <w:pPr>
      <w:tabs>
        <w:tab w:val="left" w:pos="720"/>
      </w:tabs>
      <w:overflowPunct w:val="0"/>
      <w:autoSpaceDE w:val="0"/>
      <w:autoSpaceDN w:val="0"/>
      <w:adjustRightInd w:val="0"/>
      <w:ind w:left="720" w:hanging="720"/>
      <w:textAlignment w:val="baseline"/>
      <w:outlineLvl w:val="9"/>
    </w:pPr>
    <w:rPr>
      <w:rFonts w:ascii="Arial" w:hAnsi="Arial"/>
      <w:noProof/>
      <w:sz w:val="24"/>
    </w:rPr>
  </w:style>
  <w:style w:type="paragraph" w:customStyle="1" w:styleId="Normln1">
    <w:name w:val="Normální1"/>
    <w:link w:val="Normln1Char"/>
    <w:uiPriority w:val="99"/>
    <w:rsid w:val="005600F8"/>
    <w:pPr>
      <w:widowControl w:val="0"/>
    </w:pPr>
    <w:rPr>
      <w:rFonts w:ascii="MS Sans Serif" w:hAnsi="MS Sans Serif"/>
      <w:noProof/>
      <w:sz w:val="24"/>
      <w:szCs w:val="24"/>
    </w:rPr>
  </w:style>
  <w:style w:type="paragraph" w:customStyle="1" w:styleId="Nadpis11">
    <w:name w:val="Nadpis 11"/>
    <w:basedOn w:val="Normln1"/>
    <w:next w:val="Normln1"/>
    <w:uiPriority w:val="99"/>
    <w:rsid w:val="005600F8"/>
    <w:rPr>
      <w:sz w:val="50"/>
    </w:rPr>
  </w:style>
  <w:style w:type="paragraph" w:customStyle="1" w:styleId="Styl1">
    <w:name w:val="Styl1"/>
    <w:basedOn w:val="Zkladntext"/>
    <w:next w:val="Zkladntext"/>
    <w:uiPriority w:val="99"/>
    <w:rsid w:val="005600F8"/>
    <w:pPr>
      <w:widowControl w:val="0"/>
      <w:spacing w:line="280" w:lineRule="atLeast"/>
    </w:pPr>
    <w:rPr>
      <w:rFonts w:ascii="Arial" w:hAnsi="Arial"/>
      <w:noProof/>
      <w:sz w:val="20"/>
    </w:rPr>
  </w:style>
  <w:style w:type="paragraph" w:customStyle="1" w:styleId="MojeChar">
    <w:name w:val="Moje Char"/>
    <w:basedOn w:val="Normln"/>
    <w:link w:val="MojeCharChar"/>
    <w:uiPriority w:val="99"/>
    <w:rsid w:val="005600F8"/>
    <w:pPr>
      <w:spacing w:line="280" w:lineRule="atLeast"/>
      <w:jc w:val="both"/>
    </w:pPr>
    <w:rPr>
      <w:rFonts w:ascii="Arial" w:hAnsi="Arial"/>
      <w:noProof/>
    </w:rPr>
  </w:style>
  <w:style w:type="character" w:customStyle="1" w:styleId="MojeCharChar">
    <w:name w:val="Moje Char Char"/>
    <w:basedOn w:val="Standardnpsmoodstavce"/>
    <w:link w:val="MojeChar"/>
    <w:uiPriority w:val="99"/>
    <w:locked/>
    <w:rsid w:val="005600F8"/>
    <w:rPr>
      <w:rFonts w:ascii="Arial" w:hAnsi="Arial" w:cs="Times New Roman"/>
      <w:noProof/>
      <w:sz w:val="24"/>
      <w:szCs w:val="24"/>
      <w:lang w:val="cs-CZ" w:eastAsia="cs-CZ" w:bidi="ar-SA"/>
    </w:rPr>
  </w:style>
  <w:style w:type="paragraph" w:customStyle="1" w:styleId="moje">
    <w:name w:val="moje"/>
    <w:basedOn w:val="Normln"/>
    <w:uiPriority w:val="99"/>
    <w:rsid w:val="005600F8"/>
    <w:pPr>
      <w:tabs>
        <w:tab w:val="left" w:pos="-720"/>
      </w:tabs>
      <w:suppressAutoHyphens/>
      <w:jc w:val="both"/>
    </w:pPr>
    <w:rPr>
      <w:rFonts w:ascii="Arial" w:hAnsi="Arial"/>
      <w:spacing w:val="-2"/>
      <w:sz w:val="20"/>
      <w:szCs w:val="20"/>
    </w:rPr>
  </w:style>
  <w:style w:type="character" w:customStyle="1" w:styleId="Normln1Char">
    <w:name w:val="Normální1 Char"/>
    <w:basedOn w:val="Standardnpsmoodstavce"/>
    <w:link w:val="Normln1"/>
    <w:uiPriority w:val="99"/>
    <w:locked/>
    <w:rsid w:val="005600F8"/>
    <w:rPr>
      <w:rFonts w:ascii="MS Sans Serif" w:hAnsi="MS Sans Serif" w:cs="Times New Roman"/>
      <w:noProof/>
      <w:sz w:val="24"/>
      <w:szCs w:val="24"/>
      <w:lang w:val="cs-CZ" w:eastAsia="cs-CZ" w:bidi="ar-SA"/>
    </w:rPr>
  </w:style>
  <w:style w:type="paragraph" w:customStyle="1" w:styleId="Odstavec1">
    <w:name w:val="Odstavec 1"/>
    <w:basedOn w:val="Normln"/>
    <w:uiPriority w:val="99"/>
    <w:rsid w:val="00F5423A"/>
    <w:pPr>
      <w:overflowPunct w:val="0"/>
      <w:autoSpaceDE w:val="0"/>
      <w:autoSpaceDN w:val="0"/>
      <w:adjustRightInd w:val="0"/>
      <w:ind w:firstLine="284"/>
      <w:jc w:val="both"/>
      <w:textAlignment w:val="baseline"/>
    </w:pPr>
    <w:rPr>
      <w:szCs w:val="20"/>
    </w:rPr>
  </w:style>
  <w:style w:type="paragraph" w:customStyle="1" w:styleId="slovanseznam2a">
    <w:name w:val="číslovaný seznam 2a"/>
    <w:basedOn w:val="slovanseznam"/>
    <w:uiPriority w:val="99"/>
    <w:rsid w:val="00F5423A"/>
    <w:pPr>
      <w:numPr>
        <w:numId w:val="0"/>
      </w:numPr>
      <w:spacing w:before="40" w:after="40"/>
      <w:jc w:val="both"/>
    </w:pPr>
    <w:rPr>
      <w:szCs w:val="20"/>
    </w:rPr>
  </w:style>
  <w:style w:type="paragraph" w:styleId="slovanseznam">
    <w:name w:val="List Number"/>
    <w:basedOn w:val="Normln"/>
    <w:uiPriority w:val="99"/>
    <w:rsid w:val="00F5423A"/>
    <w:pPr>
      <w:numPr>
        <w:numId w:val="16"/>
      </w:numPr>
      <w:tabs>
        <w:tab w:val="clear" w:pos="360"/>
      </w:tabs>
      <w:ind w:left="2937" w:hanging="57"/>
    </w:pPr>
  </w:style>
  <w:style w:type="paragraph" w:customStyle="1" w:styleId="CharCharCharCharCharCharCharCharCharChar">
    <w:name w:val="Char Char Char Char Char Char Char Char Char Char"/>
    <w:basedOn w:val="Normln"/>
    <w:uiPriority w:val="99"/>
    <w:rsid w:val="003D4DEB"/>
    <w:pPr>
      <w:spacing w:after="160" w:line="240" w:lineRule="exact"/>
    </w:pPr>
    <w:rPr>
      <w:rFonts w:ascii="Times New Roman Bold" w:hAnsi="Times New Roman Bold"/>
      <w:b/>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127538">
      <w:bodyDiv w:val="1"/>
      <w:marLeft w:val="0"/>
      <w:marRight w:val="0"/>
      <w:marTop w:val="0"/>
      <w:marBottom w:val="0"/>
      <w:divBdr>
        <w:top w:val="none" w:sz="0" w:space="0" w:color="auto"/>
        <w:left w:val="none" w:sz="0" w:space="0" w:color="auto"/>
        <w:bottom w:val="none" w:sz="0" w:space="0" w:color="auto"/>
        <w:right w:val="none" w:sz="0" w:space="0" w:color="auto"/>
      </w:divBdr>
    </w:div>
    <w:div w:id="968048365">
      <w:bodyDiv w:val="1"/>
      <w:marLeft w:val="0"/>
      <w:marRight w:val="0"/>
      <w:marTop w:val="0"/>
      <w:marBottom w:val="0"/>
      <w:divBdr>
        <w:top w:val="none" w:sz="0" w:space="0" w:color="auto"/>
        <w:left w:val="none" w:sz="0" w:space="0" w:color="auto"/>
        <w:bottom w:val="none" w:sz="0" w:space="0" w:color="auto"/>
        <w:right w:val="none" w:sz="0" w:space="0" w:color="auto"/>
      </w:divBdr>
    </w:div>
    <w:div w:id="2104372258">
      <w:marLeft w:val="0"/>
      <w:marRight w:val="0"/>
      <w:marTop w:val="0"/>
      <w:marBottom w:val="0"/>
      <w:divBdr>
        <w:top w:val="none" w:sz="0" w:space="0" w:color="auto"/>
        <w:left w:val="none" w:sz="0" w:space="0" w:color="auto"/>
        <w:bottom w:val="none" w:sz="0" w:space="0" w:color="auto"/>
        <w:right w:val="none" w:sz="0" w:space="0" w:color="auto"/>
      </w:divBdr>
    </w:div>
    <w:div w:id="2104372259">
      <w:marLeft w:val="0"/>
      <w:marRight w:val="0"/>
      <w:marTop w:val="0"/>
      <w:marBottom w:val="0"/>
      <w:divBdr>
        <w:top w:val="none" w:sz="0" w:space="0" w:color="auto"/>
        <w:left w:val="none" w:sz="0" w:space="0" w:color="auto"/>
        <w:bottom w:val="none" w:sz="0" w:space="0" w:color="auto"/>
        <w:right w:val="none" w:sz="0" w:space="0" w:color="auto"/>
      </w:divBdr>
    </w:div>
    <w:div w:id="21043722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48052-FEE8-479E-BECE-45FA56BA3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3120</Words>
  <Characters>18410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AKCE</vt:lpstr>
    </vt:vector>
  </TitlesOfParts>
  <Company>Spojprojekt CZ, a.s.</Company>
  <LinksUpToDate>false</LinksUpToDate>
  <CharactersWithSpaces>21488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tdohnal</dc:creator>
  <cp:keywords/>
  <dc:description/>
  <cp:lastModifiedBy>Martin Strnad</cp:lastModifiedBy>
  <cp:revision>18</cp:revision>
  <cp:lastPrinted>2023-01-20T09:51:00Z</cp:lastPrinted>
  <dcterms:created xsi:type="dcterms:W3CDTF">2018-11-12T15:04:00Z</dcterms:created>
  <dcterms:modified xsi:type="dcterms:W3CDTF">2023-01-20T09:51:00Z</dcterms:modified>
</cp:coreProperties>
</file>